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92" w:rsidRPr="009A5F21" w:rsidRDefault="00A00692" w:rsidP="00A00692">
      <w:pPr>
        <w:tabs>
          <w:tab w:val="left" w:pos="2880"/>
        </w:tabs>
        <w:jc w:val="center"/>
        <w:rPr>
          <w:rFonts w:ascii="Century Gothic" w:hAnsi="Century Gothic" w:cs="Arial"/>
          <w:b/>
        </w:rPr>
      </w:pPr>
    </w:p>
    <w:p w:rsidR="00A00692" w:rsidRPr="009A5F21" w:rsidRDefault="00A00692" w:rsidP="00A00692">
      <w:pPr>
        <w:tabs>
          <w:tab w:val="left" w:pos="2880"/>
        </w:tabs>
        <w:jc w:val="center"/>
        <w:rPr>
          <w:rFonts w:ascii="Century Gothic" w:hAnsi="Century Gothic" w:cs="Arial"/>
          <w:b/>
        </w:rPr>
      </w:pPr>
      <w:r w:rsidRPr="009A5F21">
        <w:rPr>
          <w:rFonts w:ascii="Century Gothic" w:hAnsi="Century Gothic" w:cs="Arial"/>
          <w:b/>
        </w:rPr>
        <w:t>NOTIFICAÇÃO RECOMENDATÓRIA À ADMINISTRAÇÃO</w:t>
      </w:r>
    </w:p>
    <w:p w:rsidR="00E53E17" w:rsidRPr="009A5F21" w:rsidRDefault="00A00692" w:rsidP="00A00692">
      <w:pPr>
        <w:spacing w:line="360" w:lineRule="auto"/>
        <w:ind w:firstLine="709"/>
        <w:jc w:val="center"/>
        <w:rPr>
          <w:rFonts w:ascii="Century Gothic" w:hAnsi="Century Gothic" w:cs="Arial"/>
          <w:b/>
        </w:rPr>
      </w:pPr>
      <w:r w:rsidRPr="009A5F21">
        <w:rPr>
          <w:rFonts w:ascii="Century Gothic" w:hAnsi="Century Gothic" w:cs="Arial"/>
          <w:b/>
        </w:rPr>
        <w:t>PÚBLICA MUNICIPAL</w:t>
      </w:r>
    </w:p>
    <w:p w:rsidR="00A00692" w:rsidRPr="009A5F21" w:rsidRDefault="00A00692" w:rsidP="00A00692">
      <w:pPr>
        <w:spacing w:line="360" w:lineRule="auto"/>
        <w:ind w:firstLine="709"/>
        <w:jc w:val="both"/>
        <w:rPr>
          <w:rFonts w:ascii="Century Gothic" w:hAnsi="Century Gothic" w:cs="Arial"/>
          <w:b/>
        </w:rPr>
      </w:pPr>
    </w:p>
    <w:p w:rsidR="00A00692" w:rsidRPr="009A5F21" w:rsidRDefault="00A00692" w:rsidP="00A00692">
      <w:pPr>
        <w:ind w:left="1985" w:hanging="1985"/>
        <w:rPr>
          <w:rFonts w:ascii="Century Gothic" w:hAnsi="Century Gothic" w:cs="Arial"/>
          <w:b/>
        </w:rPr>
      </w:pPr>
      <w:r w:rsidRPr="009A5F21">
        <w:rPr>
          <w:rFonts w:ascii="Century Gothic" w:hAnsi="Century Gothic" w:cs="Arial"/>
          <w:u w:val="single"/>
        </w:rPr>
        <w:t>NOTIFICANTE:</w:t>
      </w:r>
      <w:r w:rsidRPr="009A5F21">
        <w:rPr>
          <w:rFonts w:ascii="Century Gothic" w:hAnsi="Century Gothic" w:cs="Arial"/>
          <w:b/>
        </w:rPr>
        <w:tab/>
        <w:t>UNIDADE DE CONTROLE INTERNO</w:t>
      </w:r>
    </w:p>
    <w:p w:rsidR="00A00692" w:rsidRPr="009A5F21" w:rsidRDefault="00A00692" w:rsidP="00A00692">
      <w:pPr>
        <w:rPr>
          <w:rFonts w:ascii="Century Gothic" w:hAnsi="Century Gothic" w:cs="Arial"/>
          <w:b/>
        </w:rPr>
      </w:pPr>
    </w:p>
    <w:p w:rsidR="00A00692" w:rsidRPr="009A5F21" w:rsidRDefault="00A00692" w:rsidP="00A00692">
      <w:pPr>
        <w:ind w:left="1985" w:hanging="1985"/>
        <w:jc w:val="both"/>
        <w:rPr>
          <w:rFonts w:ascii="Century Gothic" w:hAnsi="Century Gothic" w:cs="Arial"/>
          <w:b/>
          <w:i/>
        </w:rPr>
      </w:pPr>
      <w:r w:rsidRPr="009A5F21">
        <w:rPr>
          <w:rFonts w:ascii="Century Gothic" w:hAnsi="Century Gothic" w:cs="Arial"/>
          <w:u w:val="single"/>
        </w:rPr>
        <w:t>NOTIFICADOS</w:t>
      </w:r>
      <w:r w:rsidRPr="009A5F21">
        <w:rPr>
          <w:rFonts w:ascii="Century Gothic" w:hAnsi="Century Gothic" w:cs="Arial"/>
        </w:rPr>
        <w:t>:</w:t>
      </w:r>
      <w:r w:rsidRPr="009A5F21">
        <w:rPr>
          <w:rFonts w:ascii="Century Gothic" w:hAnsi="Century Gothic" w:cs="Arial"/>
          <w:b/>
        </w:rPr>
        <w:tab/>
      </w:r>
      <w:r w:rsidRPr="009A5F21">
        <w:rPr>
          <w:rFonts w:ascii="Century Gothic" w:hAnsi="Century Gothic" w:cs="Arial"/>
          <w:b/>
          <w:i/>
          <w:u w:val="single"/>
        </w:rPr>
        <w:t>Moises Dos Santos</w:t>
      </w:r>
      <w:r w:rsidRPr="009A5F21">
        <w:rPr>
          <w:rFonts w:ascii="Century Gothic" w:hAnsi="Century Gothic" w:cs="Arial"/>
          <w:b/>
          <w:i/>
        </w:rPr>
        <w:t xml:space="preserve"> – PREFEITO MUNICIPAL</w:t>
      </w:r>
    </w:p>
    <w:p w:rsidR="00A00692" w:rsidRPr="009A5F21" w:rsidRDefault="00A00692" w:rsidP="00A00692">
      <w:pPr>
        <w:ind w:left="1985" w:hanging="1985"/>
        <w:jc w:val="both"/>
        <w:rPr>
          <w:rFonts w:ascii="Century Gothic" w:hAnsi="Century Gothic" w:cs="Arial"/>
          <w:b/>
          <w:i/>
        </w:rPr>
      </w:pPr>
    </w:p>
    <w:p w:rsidR="00A00692" w:rsidRPr="009A5F21" w:rsidRDefault="00A00692" w:rsidP="00A00692">
      <w:pPr>
        <w:ind w:left="1985" w:hanging="1985"/>
        <w:jc w:val="both"/>
        <w:rPr>
          <w:rFonts w:ascii="Century Gothic" w:hAnsi="Century Gothic" w:cs="Arial"/>
          <w:b/>
          <w:i/>
        </w:rPr>
      </w:pPr>
      <w:r w:rsidRPr="009A5F21">
        <w:rPr>
          <w:rFonts w:ascii="Century Gothic" w:hAnsi="Century Gothic" w:cs="Arial"/>
          <w:b/>
          <w:i/>
        </w:rPr>
        <w:tab/>
      </w:r>
      <w:r w:rsidRPr="009A5F21">
        <w:rPr>
          <w:rFonts w:ascii="Century Gothic" w:hAnsi="Century Gothic" w:cs="Arial"/>
          <w:b/>
          <w:i/>
          <w:u w:val="single"/>
        </w:rPr>
        <w:t xml:space="preserve">Antonio Carlos </w:t>
      </w:r>
      <w:r w:rsidR="008928C9">
        <w:rPr>
          <w:rFonts w:ascii="Century Gothic" w:hAnsi="Century Gothic" w:cs="Arial"/>
          <w:b/>
          <w:i/>
          <w:u w:val="single"/>
        </w:rPr>
        <w:t xml:space="preserve">da Silva Junior </w:t>
      </w:r>
      <w:r w:rsidRPr="009A5F21">
        <w:rPr>
          <w:rFonts w:ascii="Century Gothic" w:hAnsi="Century Gothic" w:cs="Arial"/>
          <w:b/>
          <w:i/>
        </w:rPr>
        <w:t xml:space="preserve"> – SECRETÁRI</w:t>
      </w:r>
      <w:r w:rsidR="00336C8C">
        <w:rPr>
          <w:rFonts w:ascii="Century Gothic" w:hAnsi="Century Gothic" w:cs="Arial"/>
          <w:b/>
          <w:i/>
        </w:rPr>
        <w:t>O</w:t>
      </w:r>
      <w:r w:rsidRPr="009A5F21">
        <w:rPr>
          <w:rFonts w:ascii="Century Gothic" w:hAnsi="Century Gothic" w:cs="Arial"/>
          <w:b/>
          <w:i/>
        </w:rPr>
        <w:t xml:space="preserve"> MUNICIPAL DE </w:t>
      </w:r>
      <w:r w:rsidR="00635C44" w:rsidRPr="009A5F21">
        <w:rPr>
          <w:rFonts w:ascii="Century Gothic" w:hAnsi="Century Gothic" w:cs="Arial"/>
          <w:b/>
          <w:i/>
        </w:rPr>
        <w:t>ADMINISTRAÇÃO.</w:t>
      </w:r>
    </w:p>
    <w:p w:rsidR="00A00692" w:rsidRPr="009A5F21" w:rsidRDefault="00A00692" w:rsidP="008928C9">
      <w:pPr>
        <w:jc w:val="both"/>
        <w:rPr>
          <w:rFonts w:ascii="Century Gothic" w:hAnsi="Century Gothic" w:cs="Arial"/>
          <w:b/>
          <w:i/>
        </w:rPr>
      </w:pPr>
    </w:p>
    <w:p w:rsidR="00A00692" w:rsidRPr="009A5F21" w:rsidRDefault="00A00692" w:rsidP="00A00692">
      <w:pPr>
        <w:ind w:left="1985" w:hanging="1985"/>
        <w:jc w:val="both"/>
        <w:rPr>
          <w:rFonts w:ascii="Century Gothic" w:hAnsi="Century Gothic" w:cs="Arial"/>
          <w:b/>
        </w:rPr>
      </w:pPr>
      <w:r w:rsidRPr="009A5F21">
        <w:rPr>
          <w:rFonts w:ascii="Century Gothic" w:hAnsi="Century Gothic" w:cs="Arial"/>
          <w:b/>
        </w:rPr>
        <w:t xml:space="preserve">                    </w:t>
      </w:r>
    </w:p>
    <w:p w:rsidR="00A00692" w:rsidRPr="009A5F21" w:rsidRDefault="00A00692" w:rsidP="00A00692">
      <w:pPr>
        <w:ind w:left="1843" w:hanging="1843"/>
        <w:jc w:val="both"/>
        <w:rPr>
          <w:rFonts w:ascii="Century Gothic" w:hAnsi="Century Gothic" w:cs="Arial"/>
          <w:b/>
        </w:rPr>
      </w:pPr>
      <w:r w:rsidRPr="009A5F21">
        <w:rPr>
          <w:rFonts w:ascii="Century Gothic" w:hAnsi="Century Gothic" w:cs="Arial"/>
          <w:u w:val="single"/>
        </w:rPr>
        <w:t>ASSUNTO</w:t>
      </w:r>
      <w:r w:rsidRPr="009A5F21">
        <w:rPr>
          <w:rFonts w:ascii="Century Gothic" w:hAnsi="Century Gothic" w:cs="Arial"/>
        </w:rPr>
        <w:t>:</w:t>
      </w:r>
      <w:r w:rsidRPr="009A5F21">
        <w:rPr>
          <w:rFonts w:ascii="Century Gothic" w:hAnsi="Century Gothic" w:cs="Arial"/>
          <w:b/>
        </w:rPr>
        <w:t xml:space="preserve"> </w:t>
      </w:r>
      <w:r w:rsidRPr="009A5F21">
        <w:rPr>
          <w:rFonts w:ascii="Century Gothic" w:hAnsi="Century Gothic" w:cs="Arial"/>
          <w:b/>
        </w:rPr>
        <w:tab/>
      </w:r>
      <w:r w:rsidR="008928C9">
        <w:rPr>
          <w:rFonts w:ascii="Century Gothic" w:hAnsi="Century Gothic" w:cs="Arial"/>
          <w:b/>
        </w:rPr>
        <w:t>Ocorrência de fracionamento de despesas</w:t>
      </w:r>
      <w:r w:rsidRPr="009A5F21">
        <w:rPr>
          <w:rFonts w:ascii="Century Gothic" w:hAnsi="Century Gothic" w:cs="Arial"/>
          <w:b/>
        </w:rPr>
        <w:t xml:space="preserve"> por meio de Compra Direta. </w:t>
      </w:r>
    </w:p>
    <w:p w:rsidR="00A00692" w:rsidRPr="009A5F21" w:rsidRDefault="00A00692" w:rsidP="00A00692">
      <w:pPr>
        <w:spacing w:line="360" w:lineRule="auto"/>
        <w:ind w:firstLine="709"/>
        <w:jc w:val="both"/>
        <w:rPr>
          <w:rFonts w:ascii="Century Gothic" w:hAnsi="Century Gothic" w:cs="Arial"/>
          <w:b/>
        </w:rPr>
      </w:pPr>
    </w:p>
    <w:p w:rsidR="00A00692" w:rsidRPr="009A5F21" w:rsidRDefault="00A00692" w:rsidP="00A00692">
      <w:pPr>
        <w:spacing w:line="360" w:lineRule="auto"/>
        <w:ind w:firstLine="709"/>
        <w:jc w:val="both"/>
        <w:rPr>
          <w:rFonts w:ascii="Century Gothic" w:hAnsi="Century Gothic"/>
        </w:rPr>
      </w:pPr>
    </w:p>
    <w:p w:rsidR="00E53E17" w:rsidRPr="009A5F21" w:rsidRDefault="00123E08" w:rsidP="00E53E17">
      <w:pPr>
        <w:numPr>
          <w:ilvl w:val="0"/>
          <w:numId w:val="3"/>
        </w:numPr>
        <w:spacing w:line="360" w:lineRule="auto"/>
        <w:jc w:val="both"/>
        <w:rPr>
          <w:rFonts w:ascii="Century Gothic" w:hAnsi="Century Gothic"/>
          <w:b/>
        </w:rPr>
      </w:pPr>
      <w:r w:rsidRPr="009A5F21">
        <w:rPr>
          <w:rFonts w:ascii="Century Gothic" w:hAnsi="Century Gothic"/>
          <w:b/>
        </w:rPr>
        <w:t>INTRODUÇÃO</w:t>
      </w:r>
    </w:p>
    <w:p w:rsidR="00E53E17" w:rsidRPr="009A5F21" w:rsidRDefault="00E53E17" w:rsidP="00E53E17">
      <w:pPr>
        <w:spacing w:line="360" w:lineRule="auto"/>
        <w:ind w:left="1485"/>
        <w:jc w:val="both"/>
        <w:rPr>
          <w:rFonts w:ascii="Century Gothic" w:hAnsi="Century Gothic"/>
          <w:b/>
        </w:rPr>
      </w:pPr>
    </w:p>
    <w:p w:rsidR="005C3423" w:rsidRPr="009A5F21" w:rsidRDefault="00E53E17" w:rsidP="00E53E17">
      <w:pPr>
        <w:spacing w:line="360" w:lineRule="auto"/>
        <w:ind w:firstLine="709"/>
        <w:jc w:val="both"/>
        <w:rPr>
          <w:rFonts w:ascii="Century Gothic" w:hAnsi="Century Gothic"/>
        </w:rPr>
      </w:pPr>
      <w:r w:rsidRPr="009A5F21">
        <w:rPr>
          <w:rFonts w:ascii="Century Gothic" w:hAnsi="Century Gothic"/>
        </w:rPr>
        <w:t xml:space="preserve">A presente </w:t>
      </w:r>
      <w:r w:rsidR="009A5F21">
        <w:rPr>
          <w:rFonts w:ascii="Century Gothic" w:hAnsi="Century Gothic"/>
        </w:rPr>
        <w:t>notificação recomendatória</w:t>
      </w:r>
      <w:r w:rsidRPr="009A5F21">
        <w:rPr>
          <w:rFonts w:ascii="Century Gothic" w:hAnsi="Century Gothic"/>
        </w:rPr>
        <w:t xml:space="preserve"> tem como escopo </w:t>
      </w:r>
      <w:r w:rsidR="005C3423" w:rsidRPr="009A5F21">
        <w:rPr>
          <w:rFonts w:ascii="Century Gothic" w:hAnsi="Century Gothic"/>
        </w:rPr>
        <w:t xml:space="preserve">a ocorrência de fracionamento de despesas nesta prefeitura. É notório que a administração Pública deve planejar as aquisições a serem realizadas no exercício, estimando o valor global das contratações de objetos idênticos ou de mesma natureza, a fim de efetuar o processo licitatório na modalidade adequada, evitando-se o fracionamento de despesas. </w:t>
      </w:r>
    </w:p>
    <w:p w:rsidR="005C3423" w:rsidRPr="009A5F21" w:rsidRDefault="00AD7ABB" w:rsidP="00E53E17">
      <w:pPr>
        <w:spacing w:line="360" w:lineRule="auto"/>
        <w:ind w:firstLine="709"/>
        <w:jc w:val="both"/>
        <w:rPr>
          <w:rFonts w:ascii="Century Gothic" w:hAnsi="Century Gothic"/>
          <w:color w:val="000000"/>
          <w:shd w:val="clear" w:color="auto" w:fill="FFFFFF"/>
        </w:rPr>
      </w:pPr>
      <w:r w:rsidRPr="009A5F21">
        <w:rPr>
          <w:rFonts w:ascii="Century Gothic" w:hAnsi="Century Gothic"/>
        </w:rPr>
        <w:t>A Constituição Federal estabelece</w:t>
      </w:r>
      <w:r w:rsidR="005C3423" w:rsidRPr="009A5F21">
        <w:rPr>
          <w:rFonts w:ascii="Century Gothic" w:hAnsi="Century Gothic"/>
        </w:rPr>
        <w:t xml:space="preserve"> que as compras públicas e contratações de serviços devem ser precedidas de procedimentos licitatórios, </w:t>
      </w:r>
      <w:r w:rsidR="005C3423" w:rsidRPr="009A5F21">
        <w:rPr>
          <w:rFonts w:ascii="Century Gothic" w:hAnsi="Century Gothic"/>
          <w:color w:val="000000"/>
          <w:shd w:val="clear" w:color="auto" w:fill="FFFFFF"/>
        </w:rPr>
        <w:t>que assegure igualdade de condições a todos os concorrentes, com cláusulas que estabeleçam obrigações de pagamento, mantidas as condições efetivas da proposta, nos termos da lei, o qual somente permitirá as exigências de qualificação técnica e econômica indispensáveis à garantia do cumprimento das obrigações.</w:t>
      </w:r>
    </w:p>
    <w:p w:rsidR="00C80AF3" w:rsidRPr="009A5F21" w:rsidRDefault="00C80AF3" w:rsidP="00E53E17">
      <w:pPr>
        <w:spacing w:line="360" w:lineRule="auto"/>
        <w:ind w:firstLine="709"/>
        <w:jc w:val="both"/>
        <w:rPr>
          <w:rFonts w:ascii="Century Gothic" w:hAnsi="Century Gothic"/>
          <w:shd w:val="clear" w:color="auto" w:fill="FFFFFF"/>
        </w:rPr>
      </w:pPr>
      <w:r w:rsidRPr="009A5F21">
        <w:rPr>
          <w:rFonts w:ascii="Century Gothic" w:hAnsi="Century Gothic"/>
          <w:shd w:val="clear" w:color="auto" w:fill="FFFFFF"/>
        </w:rPr>
        <w:lastRenderedPageBreak/>
        <w:t xml:space="preserve">Estabelecidas estas premissas, a Lei 8.666/93 proíbe, como regra, o fracionamento para aquisição de bens ou a contratação de serviços, como se evidencia no § 5º do art. 23. </w:t>
      </w:r>
    </w:p>
    <w:p w:rsidR="00C80AF3" w:rsidRPr="009A5F21" w:rsidRDefault="00C80AF3" w:rsidP="00E53E17">
      <w:pPr>
        <w:spacing w:line="360" w:lineRule="auto"/>
        <w:ind w:firstLine="709"/>
        <w:jc w:val="both"/>
        <w:rPr>
          <w:rFonts w:ascii="Century Gothic" w:hAnsi="Century Gothic"/>
          <w:shd w:val="clear" w:color="auto" w:fill="FFFFFF"/>
        </w:rPr>
      </w:pPr>
    </w:p>
    <w:p w:rsidR="00C80AF3" w:rsidRPr="009A5F21" w:rsidRDefault="00C80AF3" w:rsidP="00C80AF3">
      <w:pPr>
        <w:spacing w:line="360" w:lineRule="auto"/>
        <w:ind w:left="1701"/>
        <w:jc w:val="both"/>
        <w:rPr>
          <w:rFonts w:ascii="Century Gothic" w:hAnsi="Century Gothic"/>
          <w:i/>
          <w:shd w:val="clear" w:color="auto" w:fill="FFFFFF"/>
        </w:rPr>
      </w:pPr>
      <w:r w:rsidRPr="009A5F21">
        <w:rPr>
          <w:rFonts w:ascii="Century Gothic" w:hAnsi="Century Gothic"/>
          <w:i/>
          <w:color w:val="000000"/>
          <w:shd w:val="clear" w:color="auto" w:fill="FFFFFF"/>
        </w:rPr>
        <w:t>“É vedada a utilização da modalidade "convite" ou "tomada de preços", conforme o caso, para parcelas de uma mesma obra ou serviço, ou ainda para obras e serviços da mesma natureza e no mesmo local que possam ser realizadas conjunta e concomitantemente, sempre que o somatório de seus valores caracterizar o caso de "tomada de preços" ou "concorrência", respectivamente, nos termos deste artigo, exceto para as parcelas de natureza específica que possam ser executadas por pessoas ou empresas de especialidade diversa daquela do executor da obra ou serviço</w:t>
      </w:r>
      <w:r w:rsidRPr="009A5F21">
        <w:rPr>
          <w:rFonts w:ascii="Century Gothic" w:hAnsi="Century Gothic"/>
          <w:i/>
          <w:shd w:val="clear" w:color="auto" w:fill="FFFFFF"/>
        </w:rPr>
        <w:t>”. </w:t>
      </w:r>
    </w:p>
    <w:p w:rsidR="00C80AF3" w:rsidRPr="009A5F21" w:rsidRDefault="00C80AF3" w:rsidP="00E53E17">
      <w:pPr>
        <w:spacing w:line="360" w:lineRule="auto"/>
        <w:ind w:firstLine="709"/>
        <w:jc w:val="both"/>
        <w:rPr>
          <w:rFonts w:ascii="Century Gothic" w:hAnsi="Century Gothic"/>
          <w:shd w:val="clear" w:color="auto" w:fill="FFFFFF"/>
        </w:rPr>
      </w:pPr>
    </w:p>
    <w:p w:rsidR="00C80AF3" w:rsidRPr="009A5F21" w:rsidRDefault="008E29C5" w:rsidP="00E53E17">
      <w:pPr>
        <w:spacing w:line="360" w:lineRule="auto"/>
        <w:ind w:firstLine="709"/>
        <w:jc w:val="both"/>
        <w:rPr>
          <w:rStyle w:val="Forte"/>
          <w:rFonts w:ascii="Century Gothic" w:hAnsi="Century Gothic"/>
          <w:b w:val="0"/>
          <w:shd w:val="clear" w:color="auto" w:fill="FFFFFF"/>
        </w:rPr>
      </w:pPr>
      <w:r w:rsidRPr="009A5F21">
        <w:rPr>
          <w:rFonts w:ascii="Century Gothic" w:hAnsi="Century Gothic"/>
          <w:shd w:val="clear" w:color="auto" w:fill="FFFFFF"/>
        </w:rPr>
        <w:t xml:space="preserve">Neste sentido, é entendimento consolidado perante as Cortes de Contas que não pode </w:t>
      </w:r>
      <w:r w:rsidRPr="009A5F21">
        <w:rPr>
          <w:rStyle w:val="Forte"/>
          <w:rFonts w:ascii="Century Gothic" w:hAnsi="Century Gothic"/>
          <w:b w:val="0"/>
          <w:shd w:val="clear" w:color="auto" w:fill="FFFFFF"/>
        </w:rPr>
        <w:t xml:space="preserve">o agente público justificar o fracionamento da despesa com várias aquisições ou contratações no mesmo exercício, sob modalidade de licitação inferior àquela exigida para o total da despesa no ano, quando decorrente da falta de planejamento, </w:t>
      </w:r>
      <w:r w:rsidR="0069593B" w:rsidRPr="009A5F21">
        <w:rPr>
          <w:rStyle w:val="Forte"/>
          <w:rFonts w:ascii="Century Gothic" w:hAnsi="Century Gothic"/>
          <w:b w:val="0"/>
          <w:shd w:val="clear" w:color="auto" w:fill="FFFFFF"/>
        </w:rPr>
        <w:t>como já se pronunciou o Tribunal de Contas do Estado de Mato Grosso.</w:t>
      </w:r>
    </w:p>
    <w:p w:rsidR="008E29C5" w:rsidRPr="009A5F21" w:rsidRDefault="008E29C5" w:rsidP="00E53E17">
      <w:pPr>
        <w:spacing w:line="360" w:lineRule="auto"/>
        <w:ind w:firstLine="709"/>
        <w:jc w:val="both"/>
        <w:rPr>
          <w:rStyle w:val="Forte"/>
          <w:rFonts w:ascii="Century Gothic" w:hAnsi="Century Gothic"/>
          <w:b w:val="0"/>
          <w:shd w:val="clear" w:color="auto" w:fill="FFFFFF"/>
        </w:rPr>
      </w:pPr>
    </w:p>
    <w:p w:rsidR="008E29C5" w:rsidRPr="009A5F21" w:rsidRDefault="008E29C5" w:rsidP="008E29C5">
      <w:pPr>
        <w:spacing w:line="360" w:lineRule="auto"/>
        <w:ind w:left="1701"/>
        <w:jc w:val="both"/>
        <w:rPr>
          <w:rFonts w:ascii="Century Gothic" w:hAnsi="Century Gothic"/>
          <w:b/>
          <w:i/>
        </w:rPr>
      </w:pPr>
      <w:r w:rsidRPr="009A5F21">
        <w:rPr>
          <w:rFonts w:ascii="Century Gothic" w:hAnsi="Century Gothic"/>
          <w:b/>
          <w:i/>
        </w:rPr>
        <w:t xml:space="preserve">Resolução de Consulta nº 21/2011 (DOE, 31/03/2011) e Acórdão n° 2.291/2002 (DOE, 17/12/2002). Licitação. Parcelamento e fracionamento. Obrigatoriedade e Definição da Modalidade. Parcelamento do objeto. Fracionamento de despesas. Critérios. </w:t>
      </w:r>
    </w:p>
    <w:p w:rsidR="008E29C5" w:rsidRPr="009A5F21" w:rsidRDefault="008E29C5" w:rsidP="008E29C5">
      <w:pPr>
        <w:spacing w:line="360" w:lineRule="auto"/>
        <w:ind w:left="1701"/>
        <w:jc w:val="both"/>
        <w:rPr>
          <w:rFonts w:ascii="Century Gothic" w:hAnsi="Century Gothic"/>
          <w:i/>
        </w:rPr>
      </w:pPr>
      <w:r w:rsidRPr="009A5F21">
        <w:rPr>
          <w:rFonts w:ascii="Century Gothic" w:hAnsi="Century Gothic"/>
          <w:i/>
        </w:rPr>
        <w:lastRenderedPageBreak/>
        <w:t xml:space="preserve">O fracionamento de despesas é a prática ilegal do parcelamento do objeto com intento de desfigurar a modalidade licitatória ou até mesmo dispensá-la. Para que essa prática não fique configurada e o parcelamento do objeto seja perfeitamente operacionalizado, é primordial a observância dos seguintes preceitos: </w:t>
      </w:r>
    </w:p>
    <w:p w:rsidR="008E29C5" w:rsidRPr="009A5F21" w:rsidRDefault="008E29C5" w:rsidP="008E29C5">
      <w:pPr>
        <w:spacing w:line="360" w:lineRule="auto"/>
        <w:ind w:left="1701"/>
        <w:jc w:val="both"/>
        <w:rPr>
          <w:rFonts w:ascii="Century Gothic" w:hAnsi="Century Gothic"/>
          <w:i/>
        </w:rPr>
      </w:pPr>
      <w:r w:rsidRPr="009A5F21">
        <w:rPr>
          <w:rFonts w:ascii="Century Gothic" w:hAnsi="Century Gothic"/>
          <w:b/>
          <w:i/>
        </w:rPr>
        <w:t>a)</w:t>
      </w:r>
      <w:r w:rsidRPr="009A5F21">
        <w:rPr>
          <w:rFonts w:ascii="Century Gothic" w:hAnsi="Century Gothic"/>
          <w:i/>
        </w:rPr>
        <w:t xml:space="preserve"> O parcelamento do objeto da contratação é uma determinação e não uma mera faculdade. Para não realizá-lo é preciso que se demonstre que a opção não é vantajosa ou viável naquela situação específica, por meio de estudos de viabilidade técnica e econômica, nos termos do § 1°, do art. 23, da Lei n° 8.666/93; </w:t>
      </w:r>
    </w:p>
    <w:p w:rsidR="008E29C5" w:rsidRPr="009A5F21" w:rsidRDefault="008E29C5" w:rsidP="008E29C5">
      <w:pPr>
        <w:spacing w:line="360" w:lineRule="auto"/>
        <w:ind w:left="1701"/>
        <w:jc w:val="both"/>
        <w:rPr>
          <w:rFonts w:ascii="Century Gothic" w:hAnsi="Century Gothic"/>
          <w:i/>
        </w:rPr>
      </w:pPr>
      <w:r w:rsidRPr="009A5F21">
        <w:rPr>
          <w:rFonts w:ascii="Century Gothic" w:hAnsi="Century Gothic"/>
          <w:b/>
          <w:i/>
        </w:rPr>
        <w:t>b)</w:t>
      </w:r>
      <w:r w:rsidRPr="009A5F21">
        <w:rPr>
          <w:rFonts w:ascii="Century Gothic" w:hAnsi="Century Gothic"/>
          <w:i/>
        </w:rPr>
        <w:t xml:space="preserve"> As parcelas integrantes de um mesmo objeto devem ser conjugadas para determinação da modalidade licitatória ou dispensa. Todavia, em caráter excepcional, na forma do art. 23, § 5°, para obras e serviços de engenharia, há possibilidade de abandonar a modalidade de licitação para o total da contratação, quando se tratar de parcelas de natureza específica que possam ser executadas por pessoa ou empresa de especialidade diversa daquela do executor da obra ou serviço; </w:t>
      </w:r>
    </w:p>
    <w:p w:rsidR="008E29C5" w:rsidRPr="009A5F21" w:rsidRDefault="008E29C5" w:rsidP="008E29C5">
      <w:pPr>
        <w:spacing w:line="360" w:lineRule="auto"/>
        <w:ind w:left="1701"/>
        <w:jc w:val="both"/>
        <w:rPr>
          <w:rFonts w:ascii="Century Gothic" w:hAnsi="Century Gothic"/>
          <w:i/>
        </w:rPr>
      </w:pPr>
      <w:r w:rsidRPr="009A5F21">
        <w:rPr>
          <w:rFonts w:ascii="Century Gothic" w:hAnsi="Century Gothic"/>
          <w:b/>
          <w:i/>
        </w:rPr>
        <w:t>c)</w:t>
      </w:r>
      <w:r w:rsidRPr="009A5F21">
        <w:rPr>
          <w:rFonts w:ascii="Century Gothic" w:hAnsi="Century Gothic"/>
          <w:i/>
        </w:rPr>
        <w:t xml:space="preserve"> As contratações (obras e serviços de engenharia) que tenham a mesma natureza (assemelhados) sendo parcelas de um único objeto, devem ser somadas para determinação da obrigatoriedade da licitação ou definição da modalidade licitatória, a menos que não possam ser </w:t>
      </w:r>
      <w:r w:rsidRPr="009A5F21">
        <w:rPr>
          <w:rFonts w:ascii="Century Gothic" w:hAnsi="Century Gothic"/>
          <w:i/>
        </w:rPr>
        <w:lastRenderedPageBreak/>
        <w:t xml:space="preserve">executados no mesmo local, conjunta e concomitantemente; </w:t>
      </w:r>
    </w:p>
    <w:p w:rsidR="008E29C5" w:rsidRPr="009A5F21" w:rsidRDefault="008E29C5" w:rsidP="008E29C5">
      <w:pPr>
        <w:spacing w:line="360" w:lineRule="auto"/>
        <w:ind w:left="1701"/>
        <w:jc w:val="both"/>
        <w:rPr>
          <w:rFonts w:ascii="Century Gothic" w:hAnsi="Century Gothic"/>
          <w:i/>
        </w:rPr>
      </w:pPr>
      <w:r w:rsidRPr="009A5F21">
        <w:rPr>
          <w:rFonts w:ascii="Century Gothic" w:hAnsi="Century Gothic"/>
          <w:b/>
          <w:i/>
        </w:rPr>
        <w:t>d)</w:t>
      </w:r>
      <w:r w:rsidRPr="009A5F21">
        <w:rPr>
          <w:rFonts w:ascii="Century Gothic" w:hAnsi="Century Gothic"/>
          <w:i/>
        </w:rPr>
        <w:t xml:space="preserve"> Sempre que as aquisições envolverem objetos idênticos ou de mesma natureza, há que se utilizar de licitação pública e na modalidade apropriada em função do valor global das contratações iguais ou semelhantes (mesma natureza) planejadas para o exercício; </w:t>
      </w:r>
    </w:p>
    <w:p w:rsidR="0069593B" w:rsidRPr="009A5F21" w:rsidRDefault="008E29C5" w:rsidP="0069593B">
      <w:pPr>
        <w:spacing w:line="360" w:lineRule="auto"/>
        <w:ind w:left="1701"/>
        <w:jc w:val="both"/>
        <w:rPr>
          <w:rFonts w:ascii="Century Gothic" w:hAnsi="Century Gothic"/>
          <w:i/>
        </w:rPr>
      </w:pPr>
      <w:r w:rsidRPr="009A5F21">
        <w:rPr>
          <w:rFonts w:ascii="Century Gothic" w:hAnsi="Century Gothic"/>
          <w:b/>
          <w:i/>
        </w:rPr>
        <w:t>e)</w:t>
      </w:r>
      <w:r w:rsidRPr="009A5F21">
        <w:rPr>
          <w:rFonts w:ascii="Century Gothic" w:hAnsi="Century Gothic"/>
          <w:i/>
        </w:rPr>
        <w:t xml:space="preserve"> Objetos de mesma natureza são espécies de um mesmo gênero; ou possuem similaridade na função; cujos potenciais fornecedores sejam os mesmos; </w:t>
      </w:r>
    </w:p>
    <w:p w:rsidR="008E29C5" w:rsidRPr="009A5F21" w:rsidRDefault="008E29C5" w:rsidP="008E29C5">
      <w:pPr>
        <w:spacing w:line="360" w:lineRule="auto"/>
        <w:ind w:left="1701"/>
        <w:jc w:val="both"/>
        <w:rPr>
          <w:rFonts w:ascii="Century Gothic" w:hAnsi="Century Gothic"/>
          <w:i/>
        </w:rPr>
      </w:pPr>
      <w:r w:rsidRPr="009A5F21">
        <w:rPr>
          <w:rFonts w:ascii="Century Gothic" w:hAnsi="Century Gothic"/>
          <w:b/>
          <w:i/>
        </w:rPr>
        <w:t>f)</w:t>
      </w:r>
      <w:r w:rsidRPr="009A5F21">
        <w:rPr>
          <w:rFonts w:ascii="Century Gothic" w:hAnsi="Century Gothic"/>
          <w:i/>
        </w:rPr>
        <w:t xml:space="preserve"> A classificação orçamentária (elemento ou subelemento de despesas) e a identidade ou qualidade do fornecedor são insuficientes, isoladamente, para determinação da obrigatoriedade de licitar ou definição da modalidade licitatória; </w:t>
      </w:r>
    </w:p>
    <w:p w:rsidR="008E29C5" w:rsidRPr="009A5F21" w:rsidRDefault="008E29C5" w:rsidP="008E29C5">
      <w:pPr>
        <w:spacing w:line="360" w:lineRule="auto"/>
        <w:ind w:left="1701"/>
        <w:jc w:val="both"/>
        <w:rPr>
          <w:rFonts w:ascii="Century Gothic" w:hAnsi="Century Gothic"/>
          <w:i/>
        </w:rPr>
      </w:pPr>
      <w:r w:rsidRPr="009A5F21">
        <w:rPr>
          <w:rFonts w:ascii="Century Gothic" w:hAnsi="Century Gothic"/>
          <w:b/>
          <w:i/>
        </w:rPr>
        <w:t>g)</w:t>
      </w:r>
      <w:r w:rsidRPr="009A5F21">
        <w:rPr>
          <w:rFonts w:ascii="Century Gothic" w:hAnsi="Century Gothic"/>
          <w:i/>
        </w:rPr>
        <w:t xml:space="preserve"> O lapso temporal entre as licitações é irrelevante para determinação da obrigatoriedade de licitar ou definição da modalidade licitatória; </w:t>
      </w:r>
    </w:p>
    <w:p w:rsidR="008E29C5" w:rsidRPr="009A5F21" w:rsidRDefault="008E29C5" w:rsidP="008E29C5">
      <w:pPr>
        <w:spacing w:line="360" w:lineRule="auto"/>
        <w:ind w:left="1701"/>
        <w:jc w:val="both"/>
        <w:rPr>
          <w:rFonts w:ascii="Century Gothic" w:hAnsi="Century Gothic"/>
          <w:i/>
        </w:rPr>
      </w:pPr>
      <w:r w:rsidRPr="009A5F21">
        <w:rPr>
          <w:rFonts w:ascii="Century Gothic" w:hAnsi="Century Gothic"/>
          <w:b/>
          <w:i/>
        </w:rPr>
        <w:t>h)</w:t>
      </w:r>
      <w:r w:rsidRPr="009A5F21">
        <w:rPr>
          <w:rFonts w:ascii="Century Gothic" w:hAnsi="Century Gothic"/>
          <w:i/>
        </w:rPr>
        <w:t xml:space="preserve"> O gestor deve zelar por uma precisa definição do objeto, programando suas contratações em observância ao princípio da anualidade da despesa; </w:t>
      </w:r>
    </w:p>
    <w:p w:rsidR="008E29C5" w:rsidRPr="009A5F21" w:rsidRDefault="008E29C5" w:rsidP="008E29C5">
      <w:pPr>
        <w:spacing w:line="360" w:lineRule="auto"/>
        <w:ind w:left="1701"/>
        <w:jc w:val="both"/>
        <w:rPr>
          <w:rFonts w:ascii="Century Gothic" w:hAnsi="Century Gothic"/>
          <w:i/>
        </w:rPr>
      </w:pPr>
      <w:r w:rsidRPr="009A5F21">
        <w:rPr>
          <w:rFonts w:ascii="Century Gothic" w:hAnsi="Century Gothic"/>
          <w:b/>
          <w:i/>
        </w:rPr>
        <w:t>i)</w:t>
      </w:r>
      <w:r w:rsidRPr="009A5F21">
        <w:rPr>
          <w:rFonts w:ascii="Century Gothic" w:hAnsi="Century Gothic"/>
          <w:i/>
        </w:rPr>
        <w:t xml:space="preserve"> O ramo de atividade da empresa licitante deve ser compatível com o objeto da licitação e sua definição não está vinculada, necessariamente, ao subelemento de despesas; </w:t>
      </w:r>
    </w:p>
    <w:p w:rsidR="008E29C5" w:rsidRPr="009A5F21" w:rsidRDefault="008E29C5" w:rsidP="008E29C5">
      <w:pPr>
        <w:spacing w:line="360" w:lineRule="auto"/>
        <w:ind w:left="1701"/>
        <w:jc w:val="both"/>
        <w:rPr>
          <w:rFonts w:ascii="Century Gothic" w:hAnsi="Century Gothic"/>
          <w:i/>
        </w:rPr>
      </w:pPr>
      <w:r w:rsidRPr="009A5F21">
        <w:rPr>
          <w:rFonts w:ascii="Century Gothic" w:hAnsi="Century Gothic"/>
          <w:b/>
          <w:i/>
        </w:rPr>
        <w:t xml:space="preserve">j) </w:t>
      </w:r>
      <w:r w:rsidRPr="009A5F21">
        <w:rPr>
          <w:rFonts w:ascii="Century Gothic" w:hAnsi="Century Gothic"/>
          <w:i/>
        </w:rPr>
        <w:t xml:space="preserve">A contratação que for autônoma, assim entendida aquela impossível de ter sido prevista (comprovadamente), mesmo </w:t>
      </w:r>
      <w:r w:rsidRPr="009A5F21">
        <w:rPr>
          <w:rFonts w:ascii="Century Gothic" w:hAnsi="Century Gothic"/>
          <w:i/>
        </w:rPr>
        <w:lastRenderedPageBreak/>
        <w:t>que se refira a objeto idêntico ou de mesma natureza de contratação anterior, poderá ser realizada por dispensa em razão de pequeno valor ou adotada a modalidade licitatória, isoladamente.</w:t>
      </w:r>
    </w:p>
    <w:p w:rsidR="0069593B" w:rsidRPr="009A5F21" w:rsidRDefault="0069593B" w:rsidP="008E29C5">
      <w:pPr>
        <w:spacing w:line="360" w:lineRule="auto"/>
        <w:ind w:left="1701"/>
        <w:jc w:val="both"/>
        <w:rPr>
          <w:rFonts w:ascii="Century Gothic" w:hAnsi="Century Gothic"/>
          <w:i/>
        </w:rPr>
      </w:pPr>
    </w:p>
    <w:p w:rsidR="0069593B" w:rsidRPr="009A5F21" w:rsidRDefault="0069593B" w:rsidP="008E29C5">
      <w:pPr>
        <w:spacing w:line="360" w:lineRule="auto"/>
        <w:ind w:left="1701"/>
        <w:jc w:val="both"/>
        <w:rPr>
          <w:rFonts w:ascii="Century Gothic" w:hAnsi="Century Gothic"/>
          <w:b/>
          <w:i/>
        </w:rPr>
      </w:pPr>
      <w:r w:rsidRPr="009A5F21">
        <w:rPr>
          <w:rFonts w:ascii="Century Gothic" w:hAnsi="Century Gothic"/>
          <w:b/>
          <w:i/>
        </w:rPr>
        <w:t>Licitação. Fracionamento de despesas. Escolha da modalidade licitatória com base no histórico de aquisições e no valor global de empenhos.</w:t>
      </w:r>
      <w:r w:rsidRPr="009A5F21">
        <w:rPr>
          <w:rFonts w:ascii="Century Gothic" w:hAnsi="Century Gothic"/>
          <w:i/>
        </w:rPr>
        <w:t xml:space="preserve"> A administração pública deve observar o princípio da anualidade do orçamento mediante planejamento dos gastos que ocorrerão durante o exercício financeiro, tendo como base o levantamento do histórico das aquisições em exercícios anteriores e o valor global dos empenhos, visando garantir a realização de licitações na modalidade adequada e não incorrer em fracionamento de despesas. </w:t>
      </w:r>
      <w:r w:rsidRPr="009A5F21">
        <w:rPr>
          <w:rFonts w:ascii="Century Gothic" w:hAnsi="Century Gothic"/>
          <w:b/>
          <w:i/>
        </w:rPr>
        <w:t>(Contas Anuais de Gestão. Relator: Conselheiro José Carlos Novelli. Acórdão nº 1.156/2014-TP. Julgado em 10/06/2014. Publicado no DOC/TCE-MT em 04/07/2014. Processo nº 7.338-5/2013).</w:t>
      </w:r>
    </w:p>
    <w:p w:rsidR="0069593B" w:rsidRPr="009A5F21" w:rsidRDefault="0069593B" w:rsidP="008E29C5">
      <w:pPr>
        <w:spacing w:line="360" w:lineRule="auto"/>
        <w:ind w:left="1701"/>
        <w:jc w:val="both"/>
        <w:rPr>
          <w:rFonts w:ascii="Century Gothic" w:hAnsi="Century Gothic"/>
          <w:b/>
          <w:i/>
        </w:rPr>
      </w:pPr>
    </w:p>
    <w:p w:rsidR="0069593B" w:rsidRPr="009A5F21" w:rsidRDefault="0069593B" w:rsidP="007C24BD">
      <w:pPr>
        <w:spacing w:line="360" w:lineRule="auto"/>
        <w:jc w:val="both"/>
        <w:rPr>
          <w:rFonts w:ascii="Century Gothic" w:hAnsi="Century Gothic"/>
        </w:rPr>
      </w:pPr>
      <w:r w:rsidRPr="009A5F21">
        <w:rPr>
          <w:rFonts w:ascii="Century Gothic" w:hAnsi="Century Gothic"/>
        </w:rPr>
        <w:tab/>
      </w:r>
      <w:r w:rsidR="00EA0B45" w:rsidRPr="009A5F21">
        <w:rPr>
          <w:rFonts w:ascii="Century Gothic" w:hAnsi="Century Gothic"/>
        </w:rPr>
        <w:t>Cabe destacar que o município procedeu com a atualização dos valores das modalidades licitatórias, nos moldes da Resolução Consulta Nº 17/2014</w:t>
      </w:r>
      <w:r w:rsidR="002C5392" w:rsidRPr="009A5F21">
        <w:rPr>
          <w:rFonts w:ascii="Century Gothic" w:hAnsi="Century Gothic"/>
        </w:rPr>
        <w:t>-TP</w:t>
      </w:r>
      <w:r w:rsidR="00EA0B45" w:rsidRPr="009A5F21">
        <w:rPr>
          <w:rFonts w:ascii="Century Gothic" w:hAnsi="Century Gothic"/>
        </w:rPr>
        <w:t xml:space="preserve">. </w:t>
      </w:r>
      <w:r w:rsidR="007C24BD" w:rsidRPr="009A5F21">
        <w:rPr>
          <w:rFonts w:ascii="Century Gothic" w:hAnsi="Century Gothic"/>
        </w:rPr>
        <w:t xml:space="preserve"> Portanto, a lei municipal Nº 1.068 de 03 de Maio de 2017, estabeleceu os seguintes valores:</w:t>
      </w:r>
    </w:p>
    <w:p w:rsidR="007C24BD" w:rsidRPr="009A5F21" w:rsidRDefault="007C24BD" w:rsidP="007C24BD">
      <w:pPr>
        <w:spacing w:line="360" w:lineRule="auto"/>
        <w:ind w:firstLine="708"/>
        <w:jc w:val="both"/>
        <w:rPr>
          <w:rFonts w:ascii="Century Gothic" w:hAnsi="Century Gothic"/>
          <w:shd w:val="clear" w:color="auto" w:fill="FFFFFF"/>
        </w:rPr>
      </w:pPr>
    </w:p>
    <w:p w:rsidR="007C24BD" w:rsidRPr="009A5F21" w:rsidRDefault="007C24BD" w:rsidP="007C24BD">
      <w:pPr>
        <w:spacing w:line="360" w:lineRule="auto"/>
        <w:ind w:left="1701"/>
        <w:jc w:val="both"/>
        <w:rPr>
          <w:rFonts w:ascii="Century Gothic" w:hAnsi="Century Gothic"/>
          <w:i/>
          <w:shd w:val="clear" w:color="auto" w:fill="FFFFFF"/>
        </w:rPr>
      </w:pPr>
      <w:r w:rsidRPr="009A5F21">
        <w:rPr>
          <w:rFonts w:ascii="Century Gothic" w:hAnsi="Century Gothic"/>
          <w:b/>
          <w:i/>
          <w:shd w:val="clear" w:color="auto" w:fill="FFFFFF"/>
        </w:rPr>
        <w:t>Art. 2°</w:t>
      </w:r>
      <w:r w:rsidRPr="009A5F21">
        <w:rPr>
          <w:rFonts w:ascii="Century Gothic" w:hAnsi="Century Gothic"/>
          <w:i/>
          <w:shd w:val="clear" w:color="auto" w:fill="FFFFFF"/>
        </w:rPr>
        <w:t xml:space="preserve"> As modalidades de licitação constantes nos inciso 1 a 111 do art. 22, da Lei n° 8.666/1993, serão determinadas em função dos seguintes limites:</w:t>
      </w:r>
    </w:p>
    <w:p w:rsidR="007C24BD" w:rsidRPr="009A5F21" w:rsidRDefault="00736BF9" w:rsidP="007C24BD">
      <w:pPr>
        <w:numPr>
          <w:ilvl w:val="0"/>
          <w:numId w:val="4"/>
        </w:numPr>
        <w:tabs>
          <w:tab w:val="clear" w:pos="288"/>
          <w:tab w:val="decimal" w:pos="1701"/>
        </w:tabs>
        <w:spacing w:before="180" w:line="403" w:lineRule="auto"/>
        <w:ind w:left="1701"/>
        <w:jc w:val="both"/>
        <w:rPr>
          <w:rFonts w:ascii="Century Gothic" w:hAnsi="Century Gothic"/>
          <w:i/>
          <w:spacing w:val="9"/>
          <w:lang w:val="pt-PT"/>
        </w:rPr>
      </w:pPr>
      <w:r w:rsidRPr="00736BF9">
        <w:rPr>
          <w:rFonts w:ascii="Century Gothic" w:hAnsi="Century Gothic"/>
          <w:i/>
          <w:lang w:val="en-US" w:eastAsia="en-US"/>
        </w:rPr>
        <w:lastRenderedPageBreak/>
        <w:pict>
          <v:shapetype id="_x0000_t202" coordsize="21600,21600" o:spt="202" path="m,l,21600r21600,l21600,xe">
            <v:stroke joinstyle="miter"/>
            <v:path gradientshapeok="t" o:connecttype="rect"/>
          </v:shapetype>
          <v:shape id="_x0000_s0" o:spid="_x0000_s2050" type="#_x0000_t202" style="position:absolute;left:0;text-align:left;margin-left:84.6pt;margin-top:771.95pt;width:442.1pt;height:4.35pt;z-index:-251658752;mso-wrap-distance-left:0;mso-wrap-distance-right:0;mso-position-horizontal-relative:page;mso-position-vertical-relative:page" filled="f" stroked="f">
            <v:textbox inset="0,0,0,0">
              <w:txbxContent>
                <w:p w:rsidR="007C24BD" w:rsidRPr="007C24BD" w:rsidRDefault="007C24BD" w:rsidP="007C24BD"/>
              </w:txbxContent>
            </v:textbox>
            <w10:wrap type="square" anchorx="page" anchory="page"/>
          </v:shape>
        </w:pict>
      </w:r>
      <w:r w:rsidR="007C24BD" w:rsidRPr="009A5F21">
        <w:rPr>
          <w:rFonts w:ascii="Century Gothic" w:hAnsi="Century Gothic"/>
          <w:i/>
          <w:spacing w:val="9"/>
          <w:lang w:val="pt-PT"/>
        </w:rPr>
        <w:t xml:space="preserve">convite - até R$ 674.943,46 (seiscentos e setenta e quatro mil, </w:t>
      </w:r>
      <w:r w:rsidR="007C24BD" w:rsidRPr="009A5F21">
        <w:rPr>
          <w:rFonts w:ascii="Century Gothic" w:hAnsi="Century Gothic"/>
          <w:i/>
          <w:spacing w:val="14"/>
          <w:lang w:val="pt-PT"/>
        </w:rPr>
        <w:t>novecentos e quarenta e três reais e quarenta e seis centavos);</w:t>
      </w:r>
    </w:p>
    <w:p w:rsidR="007C24BD" w:rsidRPr="009A5F21" w:rsidRDefault="007C24BD" w:rsidP="007C24BD">
      <w:pPr>
        <w:numPr>
          <w:ilvl w:val="0"/>
          <w:numId w:val="4"/>
        </w:numPr>
        <w:tabs>
          <w:tab w:val="clear" w:pos="288"/>
          <w:tab w:val="decimal" w:pos="1701"/>
        </w:tabs>
        <w:spacing w:before="108" w:line="403" w:lineRule="auto"/>
        <w:ind w:left="1701"/>
        <w:jc w:val="both"/>
        <w:rPr>
          <w:rFonts w:ascii="Century Gothic" w:hAnsi="Century Gothic"/>
          <w:i/>
          <w:spacing w:val="29"/>
          <w:lang w:val="pt-PT"/>
        </w:rPr>
      </w:pPr>
      <w:r w:rsidRPr="009A5F21">
        <w:rPr>
          <w:rFonts w:ascii="Century Gothic" w:hAnsi="Century Gothic"/>
          <w:i/>
          <w:spacing w:val="29"/>
          <w:lang w:val="pt-PT"/>
        </w:rPr>
        <w:t xml:space="preserve">tomada de preços - até R$ 6.749.434,62 (seis milhões, </w:t>
      </w:r>
      <w:r w:rsidRPr="009A5F21">
        <w:rPr>
          <w:rFonts w:ascii="Century Gothic" w:hAnsi="Century Gothic"/>
          <w:i/>
          <w:spacing w:val="16"/>
          <w:lang w:val="pt-PT"/>
        </w:rPr>
        <w:t xml:space="preserve">setecentos e quarenta e nove mil, quatrocentos e trinta e quatro reais e </w:t>
      </w:r>
      <w:r w:rsidRPr="009A5F21">
        <w:rPr>
          <w:rFonts w:ascii="Century Gothic" w:hAnsi="Century Gothic"/>
          <w:i/>
          <w:spacing w:val="10"/>
          <w:lang w:val="pt-PT"/>
        </w:rPr>
        <w:t>sessenta e dois centavos);</w:t>
      </w:r>
    </w:p>
    <w:p w:rsidR="007C24BD" w:rsidRPr="009A5F21" w:rsidRDefault="007C24BD" w:rsidP="007C24BD">
      <w:pPr>
        <w:numPr>
          <w:ilvl w:val="0"/>
          <w:numId w:val="4"/>
        </w:numPr>
        <w:tabs>
          <w:tab w:val="decimal" w:pos="1656"/>
          <w:tab w:val="decimal" w:pos="1701"/>
        </w:tabs>
        <w:spacing w:before="108" w:line="398" w:lineRule="auto"/>
        <w:ind w:left="1701"/>
        <w:jc w:val="both"/>
        <w:rPr>
          <w:rFonts w:ascii="Century Gothic" w:hAnsi="Century Gothic"/>
          <w:i/>
          <w:spacing w:val="24"/>
          <w:lang w:val="pt-PT"/>
        </w:rPr>
      </w:pPr>
      <w:r w:rsidRPr="009A5F21">
        <w:rPr>
          <w:rFonts w:ascii="Century Gothic" w:hAnsi="Century Gothic"/>
          <w:i/>
          <w:spacing w:val="24"/>
          <w:lang w:val="pt-PT"/>
        </w:rPr>
        <w:t xml:space="preserve">concorrência: acima de R$ 6.749.434,62 (seis milhões, </w:t>
      </w:r>
      <w:r w:rsidRPr="009A5F21">
        <w:rPr>
          <w:rFonts w:ascii="Century Gothic" w:hAnsi="Century Gothic"/>
          <w:i/>
          <w:spacing w:val="16"/>
          <w:lang w:val="pt-PT"/>
        </w:rPr>
        <w:t xml:space="preserve">setecentos e quarenta e nove mil. quatrocentos e trinta e quatro reais e </w:t>
      </w:r>
      <w:r w:rsidRPr="009A5F21">
        <w:rPr>
          <w:rFonts w:ascii="Century Gothic" w:hAnsi="Century Gothic"/>
          <w:i/>
          <w:spacing w:val="10"/>
          <w:lang w:val="pt-PT"/>
        </w:rPr>
        <w:t>sessenta e dois centavos).</w:t>
      </w:r>
    </w:p>
    <w:p w:rsidR="007C24BD" w:rsidRPr="009A5F21" w:rsidRDefault="007C24BD" w:rsidP="007C24BD">
      <w:pPr>
        <w:tabs>
          <w:tab w:val="decimal" w:pos="1701"/>
        </w:tabs>
        <w:spacing w:before="396"/>
        <w:ind w:left="1701"/>
        <w:jc w:val="both"/>
        <w:rPr>
          <w:rFonts w:ascii="Century Gothic" w:hAnsi="Century Gothic"/>
          <w:b/>
          <w:i/>
          <w:spacing w:val="12"/>
          <w:lang w:val="pt-PT"/>
        </w:rPr>
      </w:pPr>
      <w:r w:rsidRPr="009A5F21">
        <w:rPr>
          <w:rFonts w:ascii="Century Gothic" w:hAnsi="Century Gothic"/>
          <w:b/>
          <w:i/>
          <w:spacing w:val="12"/>
          <w:lang w:val="pt-PT"/>
        </w:rPr>
        <w:t xml:space="preserve">II </w:t>
      </w:r>
      <w:r w:rsidRPr="009A5F21">
        <w:rPr>
          <w:rFonts w:ascii="Century Gothic" w:hAnsi="Century Gothic"/>
          <w:i/>
          <w:spacing w:val="12"/>
          <w:lang w:val="pt-PT"/>
        </w:rPr>
        <w:t>- para compras e serviços não referidos no inciso anterior:</w:t>
      </w:r>
    </w:p>
    <w:p w:rsidR="007C24BD" w:rsidRPr="009A5F21" w:rsidRDefault="007C24BD" w:rsidP="007C24BD">
      <w:pPr>
        <w:numPr>
          <w:ilvl w:val="0"/>
          <w:numId w:val="5"/>
        </w:numPr>
        <w:tabs>
          <w:tab w:val="clear" w:pos="360"/>
          <w:tab w:val="decimal" w:pos="1701"/>
        </w:tabs>
        <w:spacing w:before="144" w:line="400" w:lineRule="auto"/>
        <w:ind w:left="1701"/>
        <w:jc w:val="both"/>
        <w:rPr>
          <w:rFonts w:ascii="Century Gothic" w:hAnsi="Century Gothic"/>
          <w:i/>
          <w:spacing w:val="13"/>
          <w:lang w:val="pt-PT"/>
        </w:rPr>
      </w:pPr>
      <w:r w:rsidRPr="009A5F21">
        <w:rPr>
          <w:rFonts w:ascii="Century Gothic" w:hAnsi="Century Gothic"/>
          <w:i/>
          <w:spacing w:val="13"/>
          <w:lang w:val="pt-PT"/>
        </w:rPr>
        <w:t xml:space="preserve">convite - até R$ 359.969,85 (trezentos e cinquenta e nove mil </w:t>
      </w:r>
      <w:r w:rsidRPr="009A5F21">
        <w:rPr>
          <w:rFonts w:ascii="Century Gothic" w:hAnsi="Century Gothic"/>
          <w:i/>
          <w:spacing w:val="15"/>
          <w:lang w:val="pt-PT"/>
        </w:rPr>
        <w:t>novecentos e sessenta e nove reais e oitenta e cinco centavos):</w:t>
      </w:r>
    </w:p>
    <w:p w:rsidR="007C24BD" w:rsidRPr="009A5F21" w:rsidRDefault="007C24BD" w:rsidP="007C24BD">
      <w:pPr>
        <w:numPr>
          <w:ilvl w:val="0"/>
          <w:numId w:val="5"/>
        </w:numPr>
        <w:tabs>
          <w:tab w:val="clear" w:pos="360"/>
          <w:tab w:val="decimal" w:pos="1701"/>
        </w:tabs>
        <w:spacing w:before="108" w:line="360" w:lineRule="auto"/>
        <w:ind w:left="1701"/>
        <w:jc w:val="both"/>
        <w:rPr>
          <w:rFonts w:ascii="Century Gothic" w:hAnsi="Century Gothic"/>
          <w:i/>
          <w:spacing w:val="28"/>
          <w:lang w:val="pt-PT"/>
        </w:rPr>
      </w:pPr>
      <w:r w:rsidRPr="009A5F21">
        <w:rPr>
          <w:rFonts w:ascii="Century Gothic" w:hAnsi="Century Gothic"/>
          <w:i/>
          <w:spacing w:val="28"/>
          <w:lang w:val="pt-PT"/>
        </w:rPr>
        <w:t xml:space="preserve">tomada de preços - até R$ 2.924.755,00 (dois milhões </w:t>
      </w:r>
      <w:r w:rsidRPr="009A5F21">
        <w:rPr>
          <w:rFonts w:ascii="Century Gothic" w:hAnsi="Century Gothic"/>
          <w:i/>
          <w:spacing w:val="15"/>
          <w:lang w:val="pt-PT"/>
        </w:rPr>
        <w:t>novecentos e vinte</w:t>
      </w:r>
      <w:r w:rsidRPr="009A5F21">
        <w:rPr>
          <w:rFonts w:ascii="Century Gothic" w:hAnsi="Century Gothic"/>
          <w:i/>
          <w:spacing w:val="15"/>
          <w:w w:val="115"/>
          <w:lang w:val="pt-PT"/>
        </w:rPr>
        <w:t xml:space="preserve"> e</w:t>
      </w:r>
      <w:r w:rsidRPr="009A5F21">
        <w:rPr>
          <w:rFonts w:ascii="Century Gothic" w:hAnsi="Century Gothic"/>
          <w:i/>
          <w:spacing w:val="15"/>
          <w:lang w:val="pt-PT"/>
        </w:rPr>
        <w:t xml:space="preserve"> quatro mil setecentos e cinquenta e cinco reais);</w:t>
      </w:r>
    </w:p>
    <w:p w:rsidR="007C24BD" w:rsidRPr="009A5F21" w:rsidRDefault="007C24BD" w:rsidP="007C24BD">
      <w:pPr>
        <w:numPr>
          <w:ilvl w:val="0"/>
          <w:numId w:val="5"/>
        </w:numPr>
        <w:tabs>
          <w:tab w:val="clear" w:pos="360"/>
          <w:tab w:val="decimal" w:pos="1701"/>
        </w:tabs>
        <w:spacing w:before="108" w:line="360" w:lineRule="auto"/>
        <w:ind w:left="1701"/>
        <w:jc w:val="both"/>
        <w:rPr>
          <w:rFonts w:ascii="Century Gothic" w:hAnsi="Century Gothic"/>
          <w:i/>
          <w:spacing w:val="26"/>
          <w:lang w:val="pt-PT"/>
        </w:rPr>
      </w:pPr>
      <w:r w:rsidRPr="009A5F21">
        <w:rPr>
          <w:rFonts w:ascii="Century Gothic" w:hAnsi="Century Gothic"/>
          <w:i/>
          <w:spacing w:val="26"/>
          <w:lang w:val="pt-PT"/>
        </w:rPr>
        <w:t xml:space="preserve">concorrência - acima de R$ 2.924.755,00 (dois milhões </w:t>
      </w:r>
      <w:r w:rsidRPr="009A5F21">
        <w:rPr>
          <w:rFonts w:ascii="Century Gothic" w:hAnsi="Century Gothic"/>
          <w:i/>
          <w:spacing w:val="15"/>
          <w:lang w:val="pt-PT"/>
        </w:rPr>
        <w:t>novecentos</w:t>
      </w:r>
      <w:r w:rsidRPr="009A5F21">
        <w:rPr>
          <w:rFonts w:ascii="Century Gothic" w:hAnsi="Century Gothic"/>
          <w:i/>
          <w:spacing w:val="15"/>
          <w:w w:val="115"/>
          <w:lang w:val="pt-PT"/>
        </w:rPr>
        <w:t xml:space="preserve"> e</w:t>
      </w:r>
      <w:r w:rsidRPr="009A5F21">
        <w:rPr>
          <w:rFonts w:ascii="Century Gothic" w:hAnsi="Century Gothic"/>
          <w:i/>
          <w:spacing w:val="15"/>
          <w:lang w:val="pt-PT"/>
        </w:rPr>
        <w:t xml:space="preserve"> vinte e quatro mil setecentos e cinquenta e cinco reais);</w:t>
      </w:r>
    </w:p>
    <w:p w:rsidR="007C24BD" w:rsidRPr="009A5F21" w:rsidRDefault="007C24BD" w:rsidP="007C24BD">
      <w:pPr>
        <w:tabs>
          <w:tab w:val="decimal" w:pos="1701"/>
        </w:tabs>
        <w:spacing w:before="396" w:line="285" w:lineRule="auto"/>
        <w:ind w:left="1701"/>
        <w:jc w:val="both"/>
        <w:rPr>
          <w:rFonts w:ascii="Century Gothic" w:hAnsi="Century Gothic"/>
          <w:b/>
          <w:i/>
          <w:spacing w:val="8"/>
          <w:lang w:val="pt-PT"/>
        </w:rPr>
      </w:pPr>
      <w:r w:rsidRPr="009A5F21">
        <w:rPr>
          <w:rFonts w:ascii="Century Gothic" w:hAnsi="Century Gothic"/>
          <w:b/>
          <w:i/>
          <w:spacing w:val="8"/>
          <w:lang w:val="pt-PT"/>
        </w:rPr>
        <w:t xml:space="preserve">Art. 3° </w:t>
      </w:r>
      <w:r w:rsidRPr="009A5F21">
        <w:rPr>
          <w:rFonts w:ascii="Century Gothic" w:hAnsi="Century Gothic"/>
          <w:i/>
          <w:spacing w:val="8"/>
          <w:lang w:val="pt-PT"/>
        </w:rPr>
        <w:t>É dispensável a licitação:</w:t>
      </w:r>
    </w:p>
    <w:p w:rsidR="007C24BD" w:rsidRPr="009A5F21" w:rsidRDefault="007C24BD" w:rsidP="007C24BD">
      <w:pPr>
        <w:tabs>
          <w:tab w:val="decimal" w:pos="1701"/>
        </w:tabs>
        <w:spacing w:before="360" w:line="360" w:lineRule="auto"/>
        <w:ind w:left="1701"/>
        <w:jc w:val="both"/>
        <w:rPr>
          <w:rFonts w:ascii="Century Gothic" w:hAnsi="Century Gothic"/>
          <w:i/>
          <w:spacing w:val="11"/>
          <w:lang w:val="pt-PT"/>
        </w:rPr>
      </w:pPr>
      <w:r w:rsidRPr="009A5F21">
        <w:rPr>
          <w:rFonts w:ascii="Century Gothic" w:hAnsi="Century Gothic"/>
          <w:i/>
          <w:spacing w:val="11"/>
          <w:lang w:val="pt-PT"/>
        </w:rPr>
        <w:lastRenderedPageBreak/>
        <w:t xml:space="preserve">I - para obras e serviços de engenharia de valor até 10% (dez por </w:t>
      </w:r>
      <w:r w:rsidRPr="009A5F21">
        <w:rPr>
          <w:rFonts w:ascii="Century Gothic" w:hAnsi="Century Gothic"/>
          <w:i/>
          <w:spacing w:val="12"/>
          <w:lang w:val="pt-PT"/>
        </w:rPr>
        <w:t xml:space="preserve">cento) do limite previsto na alínea a, do inciso l do artigo anterior, desde </w:t>
      </w:r>
      <w:r w:rsidRPr="009A5F21">
        <w:rPr>
          <w:rFonts w:ascii="Century Gothic" w:hAnsi="Century Gothic"/>
          <w:i/>
          <w:spacing w:val="18"/>
          <w:lang w:val="pt-PT"/>
        </w:rPr>
        <w:t xml:space="preserve">que não se refiram a parcela de uma mesma obra ou serviço ou ainda </w:t>
      </w:r>
      <w:r w:rsidRPr="009A5F21">
        <w:rPr>
          <w:rFonts w:ascii="Century Gothic" w:hAnsi="Century Gothic"/>
          <w:i/>
          <w:spacing w:val="17"/>
          <w:lang w:val="pt-PT"/>
        </w:rPr>
        <w:t xml:space="preserve">para obras e serviços da mesma natureza e no mesmo local que possam </w:t>
      </w:r>
      <w:r w:rsidRPr="009A5F21">
        <w:rPr>
          <w:rFonts w:ascii="Century Gothic" w:hAnsi="Century Gothic"/>
          <w:i/>
          <w:spacing w:val="14"/>
          <w:lang w:val="pt-PT"/>
        </w:rPr>
        <w:t>ser realizadas conjunta e concomitantemente.:</w:t>
      </w:r>
    </w:p>
    <w:p w:rsidR="007C24BD" w:rsidRPr="009A5F21" w:rsidRDefault="007C24BD" w:rsidP="007C24BD">
      <w:pPr>
        <w:tabs>
          <w:tab w:val="decimal" w:pos="1701"/>
        </w:tabs>
        <w:spacing w:before="252" w:after="72" w:line="360" w:lineRule="auto"/>
        <w:ind w:left="1701"/>
        <w:jc w:val="both"/>
        <w:rPr>
          <w:rFonts w:ascii="Century Gothic" w:hAnsi="Century Gothic"/>
          <w:b/>
          <w:i/>
          <w:spacing w:val="15"/>
          <w:lang w:val="pt-PT"/>
        </w:rPr>
      </w:pPr>
      <w:r w:rsidRPr="009A5F21">
        <w:rPr>
          <w:rFonts w:ascii="Century Gothic" w:hAnsi="Century Gothic"/>
          <w:b/>
          <w:i/>
          <w:spacing w:val="15"/>
          <w:lang w:val="pt-PT"/>
        </w:rPr>
        <w:t xml:space="preserve">II - </w:t>
      </w:r>
      <w:r w:rsidRPr="009A5F21">
        <w:rPr>
          <w:rFonts w:ascii="Century Gothic" w:hAnsi="Century Gothic"/>
          <w:i/>
          <w:spacing w:val="15"/>
          <w:lang w:val="pt-PT"/>
        </w:rPr>
        <w:t xml:space="preserve">para outros serviços e compras de valor até 10% (dez por </w:t>
      </w:r>
      <w:r w:rsidRPr="009A5F21">
        <w:rPr>
          <w:rFonts w:ascii="Century Gothic" w:hAnsi="Century Gothic"/>
          <w:i/>
          <w:spacing w:val="8"/>
          <w:lang w:val="pt-PT"/>
        </w:rPr>
        <w:t xml:space="preserve">cento) do limite previsto na alínea a, do inciso </w:t>
      </w:r>
      <w:r w:rsidR="007F2253" w:rsidRPr="009A5F21">
        <w:rPr>
          <w:rFonts w:ascii="Century Gothic" w:hAnsi="Century Gothic"/>
          <w:i/>
          <w:spacing w:val="8"/>
          <w:lang w:val="pt-PT"/>
        </w:rPr>
        <w:t>II</w:t>
      </w:r>
      <w:r w:rsidRPr="009A5F21">
        <w:rPr>
          <w:rFonts w:ascii="Century Gothic" w:hAnsi="Century Gothic"/>
          <w:i/>
          <w:spacing w:val="8"/>
          <w:lang w:val="pt-PT"/>
        </w:rPr>
        <w:t xml:space="preserve"> do artigo anterior, </w:t>
      </w:r>
      <w:r w:rsidRPr="009A5F21">
        <w:rPr>
          <w:rFonts w:ascii="Century Gothic" w:hAnsi="Century Gothic"/>
          <w:b/>
          <w:i/>
          <w:spacing w:val="8"/>
          <w:lang w:val="pt-PT"/>
        </w:rPr>
        <w:t xml:space="preserve">e </w:t>
      </w:r>
      <w:r w:rsidRPr="009A5F21">
        <w:rPr>
          <w:rFonts w:ascii="Century Gothic" w:hAnsi="Century Gothic"/>
          <w:i/>
          <w:spacing w:val="8"/>
          <w:lang w:val="pt-PT"/>
        </w:rPr>
        <w:t>para</w:t>
      </w:r>
      <w:r w:rsidRPr="009A5F21">
        <w:rPr>
          <w:rFonts w:ascii="Century Gothic" w:hAnsi="Century Gothic"/>
          <w:b/>
          <w:i/>
          <w:spacing w:val="8"/>
          <w:lang w:val="pt-PT"/>
        </w:rPr>
        <w:t xml:space="preserve"> </w:t>
      </w:r>
      <w:r w:rsidRPr="009A5F21">
        <w:rPr>
          <w:rFonts w:ascii="Century Gothic" w:hAnsi="Century Gothic"/>
          <w:i/>
          <w:spacing w:val="20"/>
          <w:lang w:val="pt-PT"/>
        </w:rPr>
        <w:t xml:space="preserve">alienações, nos casos previsto nesta Lei, desde que não se refiram a </w:t>
      </w:r>
      <w:r w:rsidRPr="009A5F21">
        <w:rPr>
          <w:rFonts w:ascii="Century Gothic" w:hAnsi="Century Gothic"/>
          <w:i/>
          <w:spacing w:val="15"/>
          <w:lang w:val="pt-PT"/>
        </w:rPr>
        <w:t xml:space="preserve">parcelas de um mesmo serviço, compra ou alienação de maior vulto que </w:t>
      </w:r>
      <w:r w:rsidRPr="009A5F21">
        <w:rPr>
          <w:rFonts w:ascii="Century Gothic" w:hAnsi="Century Gothic"/>
          <w:i/>
          <w:spacing w:val="10"/>
          <w:lang w:val="pt-PT"/>
        </w:rPr>
        <w:t>possa ser realizada de uma só vez.</w:t>
      </w:r>
    </w:p>
    <w:p w:rsidR="007C24BD" w:rsidRPr="009A5F21" w:rsidRDefault="007C24BD" w:rsidP="007C24BD">
      <w:pPr>
        <w:spacing w:line="360" w:lineRule="auto"/>
        <w:ind w:firstLine="708"/>
        <w:jc w:val="both"/>
        <w:rPr>
          <w:rFonts w:ascii="Century Gothic" w:hAnsi="Century Gothic"/>
          <w:shd w:val="clear" w:color="auto" w:fill="FFFFFF"/>
          <w:lang w:val="pt-PT"/>
        </w:rPr>
      </w:pPr>
    </w:p>
    <w:p w:rsidR="00C80AF3" w:rsidRPr="009A5F21" w:rsidRDefault="00123E08" w:rsidP="00123E08">
      <w:pPr>
        <w:pStyle w:val="PargrafodaLista"/>
        <w:numPr>
          <w:ilvl w:val="0"/>
          <w:numId w:val="3"/>
        </w:numPr>
        <w:spacing w:line="360" w:lineRule="auto"/>
        <w:jc w:val="both"/>
        <w:rPr>
          <w:rFonts w:ascii="Century Gothic" w:hAnsi="Century Gothic"/>
          <w:b/>
          <w:color w:val="333333"/>
          <w:shd w:val="clear" w:color="auto" w:fill="FFFFFF"/>
        </w:rPr>
      </w:pPr>
      <w:r w:rsidRPr="009A5F21">
        <w:rPr>
          <w:rFonts w:ascii="Century Gothic" w:hAnsi="Century Gothic"/>
          <w:b/>
          <w:color w:val="333333"/>
          <w:shd w:val="clear" w:color="auto" w:fill="FFFFFF"/>
        </w:rPr>
        <w:t>DO RELATÓRIO</w:t>
      </w:r>
    </w:p>
    <w:p w:rsidR="00123E08" w:rsidRPr="009A5F21" w:rsidRDefault="00123E08" w:rsidP="00123E08">
      <w:pPr>
        <w:spacing w:line="360" w:lineRule="auto"/>
        <w:jc w:val="both"/>
        <w:rPr>
          <w:rFonts w:ascii="Century Gothic" w:hAnsi="Century Gothic"/>
          <w:color w:val="333333"/>
          <w:shd w:val="clear" w:color="auto" w:fill="FFFFFF"/>
        </w:rPr>
      </w:pPr>
    </w:p>
    <w:p w:rsidR="00C80AF3" w:rsidRPr="009A5F21" w:rsidRDefault="00123E08" w:rsidP="00E53E17">
      <w:pPr>
        <w:spacing w:line="360" w:lineRule="auto"/>
        <w:ind w:firstLine="709"/>
        <w:jc w:val="both"/>
        <w:rPr>
          <w:rFonts w:ascii="Century Gothic" w:hAnsi="Century Gothic"/>
          <w:color w:val="333333"/>
          <w:shd w:val="clear" w:color="auto" w:fill="FFFFFF"/>
        </w:rPr>
      </w:pPr>
      <w:r w:rsidRPr="009A5F21">
        <w:rPr>
          <w:rFonts w:ascii="Century Gothic" w:hAnsi="Century Gothic"/>
          <w:color w:val="333333"/>
          <w:shd w:val="clear" w:color="auto" w:fill="FFFFFF"/>
        </w:rPr>
        <w:t xml:space="preserve">Em trabalhos de auditoria, a controladoria interna verificou a pratica de fracionamento de despesas </w:t>
      </w:r>
      <w:r w:rsidR="00CD4767" w:rsidRPr="009A5F21">
        <w:rPr>
          <w:rFonts w:ascii="Century Gothic" w:hAnsi="Century Gothic"/>
          <w:color w:val="333333"/>
          <w:shd w:val="clear" w:color="auto" w:fill="FFFFFF"/>
        </w:rPr>
        <w:t>nesta entidade</w:t>
      </w:r>
      <w:r w:rsidRPr="009A5F21">
        <w:rPr>
          <w:rFonts w:ascii="Century Gothic" w:hAnsi="Century Gothic"/>
          <w:color w:val="333333"/>
          <w:shd w:val="clear" w:color="auto" w:fill="FFFFFF"/>
        </w:rPr>
        <w:t>, conforme se evidencia abaixo:</w:t>
      </w:r>
    </w:p>
    <w:p w:rsidR="00123E08" w:rsidRPr="009A5F21" w:rsidRDefault="00123E08" w:rsidP="00E53E17">
      <w:pPr>
        <w:spacing w:line="360" w:lineRule="auto"/>
        <w:ind w:firstLine="709"/>
        <w:jc w:val="both"/>
        <w:rPr>
          <w:rFonts w:ascii="Century Gothic" w:hAnsi="Century Gothic"/>
          <w:color w:val="333333"/>
          <w:shd w:val="clear" w:color="auto" w:fill="FFFFFF"/>
        </w:rPr>
      </w:pPr>
    </w:p>
    <w:tbl>
      <w:tblPr>
        <w:tblStyle w:val="Tabelacomgrade"/>
        <w:tblW w:w="0" w:type="auto"/>
        <w:tblLook w:val="04A0"/>
      </w:tblPr>
      <w:tblGrid>
        <w:gridCol w:w="6912"/>
        <w:gridCol w:w="2159"/>
      </w:tblGrid>
      <w:tr w:rsidR="00123E08" w:rsidRPr="009A5F21" w:rsidTr="00195F12">
        <w:tc>
          <w:tcPr>
            <w:tcW w:w="9071" w:type="dxa"/>
            <w:gridSpan w:val="2"/>
          </w:tcPr>
          <w:p w:rsidR="00123E08" w:rsidRPr="009A5F21" w:rsidRDefault="00123E08" w:rsidP="00123E08">
            <w:pPr>
              <w:spacing w:line="360" w:lineRule="auto"/>
              <w:jc w:val="center"/>
              <w:rPr>
                <w:rFonts w:ascii="Century Gothic" w:hAnsi="Century Gothic"/>
                <w:b/>
                <w:sz w:val="24"/>
                <w:szCs w:val="24"/>
                <w:shd w:val="clear" w:color="auto" w:fill="FFFFFF"/>
              </w:rPr>
            </w:pPr>
            <w:r w:rsidRPr="009A5F21">
              <w:rPr>
                <w:rFonts w:ascii="Century Gothic" w:hAnsi="Century Gothic"/>
                <w:b/>
                <w:sz w:val="24"/>
                <w:szCs w:val="24"/>
                <w:shd w:val="clear" w:color="auto" w:fill="FFFFFF"/>
              </w:rPr>
              <w:t>AQUISIÇÕES DE REFEIÇÕES</w:t>
            </w:r>
          </w:p>
        </w:tc>
      </w:tr>
      <w:tr w:rsidR="00123E08" w:rsidRPr="009A5F21" w:rsidTr="000A5199">
        <w:tc>
          <w:tcPr>
            <w:tcW w:w="9071" w:type="dxa"/>
            <w:gridSpan w:val="2"/>
          </w:tcPr>
          <w:p w:rsidR="00123E08" w:rsidRPr="009A5F21" w:rsidRDefault="00123E08" w:rsidP="00E53E17">
            <w:pPr>
              <w:spacing w:line="360" w:lineRule="auto"/>
              <w:jc w:val="both"/>
              <w:rPr>
                <w:rFonts w:ascii="Century Gothic" w:hAnsi="Century Gothic"/>
                <w:b/>
                <w:sz w:val="24"/>
                <w:szCs w:val="24"/>
                <w:shd w:val="clear" w:color="auto" w:fill="FFFFFF"/>
              </w:rPr>
            </w:pPr>
            <w:r w:rsidRPr="009A5F21">
              <w:rPr>
                <w:rFonts w:ascii="Century Gothic" w:hAnsi="Century Gothic"/>
                <w:b/>
                <w:sz w:val="24"/>
                <w:szCs w:val="24"/>
                <w:shd w:val="clear" w:color="auto" w:fill="FFFFFF"/>
              </w:rPr>
              <w:t>MODO DE CONTRATAÇÃO: “Compra dispensada” – Lei Nº 8666/93, Art. 24, II (atualizado pela Lei Municipal Nº 1.068/2017)</w:t>
            </w:r>
          </w:p>
        </w:tc>
      </w:tr>
      <w:tr w:rsidR="00B022A9" w:rsidRPr="009A5F21" w:rsidTr="00B022A9">
        <w:tc>
          <w:tcPr>
            <w:tcW w:w="6912" w:type="dxa"/>
          </w:tcPr>
          <w:p w:rsidR="00B022A9" w:rsidRPr="009A5F21" w:rsidRDefault="00B022A9" w:rsidP="00A568CD">
            <w:pPr>
              <w:spacing w:line="360" w:lineRule="auto"/>
              <w:jc w:val="center"/>
              <w:rPr>
                <w:rFonts w:ascii="Century Gothic" w:hAnsi="Century Gothic"/>
                <w:b/>
                <w:sz w:val="24"/>
                <w:szCs w:val="24"/>
                <w:shd w:val="clear" w:color="auto" w:fill="FFFFFF"/>
              </w:rPr>
            </w:pPr>
            <w:r w:rsidRPr="009A5F21">
              <w:rPr>
                <w:rFonts w:ascii="Century Gothic" w:hAnsi="Century Gothic"/>
                <w:b/>
                <w:sz w:val="24"/>
                <w:szCs w:val="24"/>
                <w:shd w:val="clear" w:color="auto" w:fill="FFFFFF"/>
              </w:rPr>
              <w:t>CREDOR</w:t>
            </w:r>
          </w:p>
        </w:tc>
        <w:tc>
          <w:tcPr>
            <w:tcW w:w="2159" w:type="dxa"/>
          </w:tcPr>
          <w:p w:rsidR="00B022A9" w:rsidRPr="009A5F21" w:rsidRDefault="00B022A9" w:rsidP="00A568CD">
            <w:pPr>
              <w:spacing w:line="360" w:lineRule="auto"/>
              <w:jc w:val="center"/>
              <w:rPr>
                <w:rFonts w:ascii="Century Gothic" w:hAnsi="Century Gothic"/>
                <w:b/>
                <w:sz w:val="24"/>
                <w:szCs w:val="24"/>
                <w:shd w:val="clear" w:color="auto" w:fill="FFFFFF"/>
              </w:rPr>
            </w:pPr>
            <w:r w:rsidRPr="009A5F21">
              <w:rPr>
                <w:rFonts w:ascii="Century Gothic" w:hAnsi="Century Gothic"/>
                <w:b/>
                <w:sz w:val="24"/>
                <w:szCs w:val="24"/>
                <w:shd w:val="clear" w:color="auto" w:fill="FFFFFF"/>
              </w:rPr>
              <w:t>LIQUIDADO</w:t>
            </w:r>
          </w:p>
        </w:tc>
      </w:tr>
      <w:tr w:rsidR="00B022A9" w:rsidRPr="009A5F21" w:rsidTr="00B022A9">
        <w:tc>
          <w:tcPr>
            <w:tcW w:w="6912" w:type="dxa"/>
          </w:tcPr>
          <w:p w:rsidR="00B022A9" w:rsidRPr="009A5F21" w:rsidRDefault="00B022A9" w:rsidP="00E53E17">
            <w:pPr>
              <w:spacing w:line="360" w:lineRule="auto"/>
              <w:jc w:val="both"/>
              <w:rPr>
                <w:rFonts w:ascii="Century Gothic" w:hAnsi="Century Gothic"/>
                <w:sz w:val="24"/>
                <w:szCs w:val="24"/>
                <w:shd w:val="clear" w:color="auto" w:fill="FFFFFF"/>
              </w:rPr>
            </w:pPr>
            <w:r w:rsidRPr="009A5F21">
              <w:rPr>
                <w:rFonts w:ascii="Century Gothic" w:hAnsi="Century Gothic"/>
                <w:sz w:val="24"/>
                <w:szCs w:val="24"/>
                <w:shd w:val="clear" w:color="auto" w:fill="FFFFFF"/>
              </w:rPr>
              <w:t>CNPJ: 12.975.514/0001-41 FUJII SILVA &amp; SOUZA DA SILVA LTDA-ME</w:t>
            </w:r>
          </w:p>
          <w:p w:rsidR="00B022A9" w:rsidRPr="009A5F21" w:rsidRDefault="00B022A9" w:rsidP="00E53E17">
            <w:pPr>
              <w:spacing w:line="360" w:lineRule="auto"/>
              <w:jc w:val="both"/>
              <w:rPr>
                <w:rFonts w:ascii="Century Gothic" w:hAnsi="Century Gothic"/>
                <w:b/>
                <w:sz w:val="24"/>
                <w:szCs w:val="24"/>
                <w:shd w:val="clear" w:color="auto" w:fill="FFFFFF"/>
              </w:rPr>
            </w:pPr>
            <w:r w:rsidRPr="009A5F21">
              <w:rPr>
                <w:rFonts w:ascii="Century Gothic" w:hAnsi="Century Gothic"/>
                <w:b/>
                <w:sz w:val="24"/>
                <w:szCs w:val="24"/>
                <w:shd w:val="clear" w:color="auto" w:fill="FFFFFF"/>
              </w:rPr>
              <w:lastRenderedPageBreak/>
              <w:t>COD. DO FORNECEDOR: 3681 e 2430</w:t>
            </w:r>
          </w:p>
        </w:tc>
        <w:tc>
          <w:tcPr>
            <w:tcW w:w="2159" w:type="dxa"/>
          </w:tcPr>
          <w:p w:rsidR="00B022A9" w:rsidRPr="009A5F21" w:rsidRDefault="00B022A9" w:rsidP="000935A7">
            <w:pPr>
              <w:spacing w:line="360" w:lineRule="auto"/>
              <w:rPr>
                <w:rFonts w:ascii="Century Gothic" w:hAnsi="Century Gothic"/>
                <w:sz w:val="24"/>
                <w:szCs w:val="24"/>
                <w:shd w:val="clear" w:color="auto" w:fill="FFFFFF"/>
              </w:rPr>
            </w:pPr>
            <w:r w:rsidRPr="009A5F21">
              <w:rPr>
                <w:rFonts w:ascii="Century Gothic" w:hAnsi="Century Gothic"/>
                <w:sz w:val="24"/>
                <w:szCs w:val="24"/>
                <w:shd w:val="clear" w:color="auto" w:fill="FFFFFF"/>
              </w:rPr>
              <w:lastRenderedPageBreak/>
              <w:t xml:space="preserve">R$ </w:t>
            </w:r>
            <w:r w:rsidR="000935A7" w:rsidRPr="009A5F21">
              <w:rPr>
                <w:rFonts w:ascii="Century Gothic" w:hAnsi="Century Gothic"/>
                <w:sz w:val="24"/>
                <w:szCs w:val="24"/>
                <w:shd w:val="clear" w:color="auto" w:fill="FFFFFF"/>
              </w:rPr>
              <w:t>41.992,00</w:t>
            </w:r>
          </w:p>
        </w:tc>
      </w:tr>
      <w:tr w:rsidR="00B022A9" w:rsidRPr="009A5F21" w:rsidTr="00B022A9">
        <w:tc>
          <w:tcPr>
            <w:tcW w:w="6912" w:type="dxa"/>
          </w:tcPr>
          <w:p w:rsidR="00B022A9" w:rsidRPr="009A5F21" w:rsidRDefault="00B022A9" w:rsidP="00E53E17">
            <w:pPr>
              <w:spacing w:line="360" w:lineRule="auto"/>
              <w:jc w:val="both"/>
              <w:rPr>
                <w:rFonts w:ascii="Century Gothic" w:hAnsi="Century Gothic"/>
                <w:sz w:val="24"/>
                <w:szCs w:val="24"/>
                <w:shd w:val="clear" w:color="auto" w:fill="FFFFFF"/>
              </w:rPr>
            </w:pPr>
            <w:r w:rsidRPr="009A5F21">
              <w:rPr>
                <w:rFonts w:ascii="Century Gothic" w:hAnsi="Century Gothic"/>
                <w:sz w:val="24"/>
                <w:szCs w:val="24"/>
                <w:shd w:val="clear" w:color="auto" w:fill="FFFFFF"/>
              </w:rPr>
              <w:lastRenderedPageBreak/>
              <w:t>CNPJ: 27.417.145/0001-49 IONE PEDROZA CURY MUSSI</w:t>
            </w:r>
          </w:p>
          <w:p w:rsidR="00B022A9" w:rsidRPr="009A5F21" w:rsidRDefault="00B022A9" w:rsidP="00E53E17">
            <w:pPr>
              <w:spacing w:line="360" w:lineRule="auto"/>
              <w:jc w:val="both"/>
              <w:rPr>
                <w:rFonts w:ascii="Century Gothic" w:hAnsi="Century Gothic"/>
                <w:b/>
                <w:sz w:val="24"/>
                <w:szCs w:val="24"/>
                <w:shd w:val="clear" w:color="auto" w:fill="FFFFFF"/>
              </w:rPr>
            </w:pPr>
            <w:r w:rsidRPr="009A5F21">
              <w:rPr>
                <w:rFonts w:ascii="Century Gothic" w:hAnsi="Century Gothic"/>
                <w:b/>
                <w:sz w:val="24"/>
                <w:szCs w:val="24"/>
                <w:shd w:val="clear" w:color="auto" w:fill="FFFFFF"/>
              </w:rPr>
              <w:t>COD. DO FORNCEDOR: 3542</w:t>
            </w:r>
          </w:p>
        </w:tc>
        <w:tc>
          <w:tcPr>
            <w:tcW w:w="2159" w:type="dxa"/>
          </w:tcPr>
          <w:p w:rsidR="00B022A9" w:rsidRPr="009A5F21" w:rsidRDefault="00675D0E" w:rsidP="00E53E17">
            <w:pPr>
              <w:spacing w:line="360" w:lineRule="auto"/>
              <w:jc w:val="both"/>
              <w:rPr>
                <w:rFonts w:ascii="Century Gothic" w:hAnsi="Century Gothic"/>
                <w:sz w:val="24"/>
                <w:szCs w:val="24"/>
                <w:shd w:val="clear" w:color="auto" w:fill="FFFFFF"/>
              </w:rPr>
            </w:pPr>
            <w:r w:rsidRPr="009A5F21">
              <w:rPr>
                <w:rFonts w:ascii="Century Gothic" w:hAnsi="Century Gothic"/>
                <w:sz w:val="24"/>
                <w:szCs w:val="24"/>
                <w:shd w:val="clear" w:color="auto" w:fill="FFFFFF"/>
              </w:rPr>
              <w:t>R$ 15.5</w:t>
            </w:r>
            <w:r w:rsidR="00B022A9" w:rsidRPr="009A5F21">
              <w:rPr>
                <w:rFonts w:ascii="Century Gothic" w:hAnsi="Century Gothic"/>
                <w:sz w:val="24"/>
                <w:szCs w:val="24"/>
                <w:shd w:val="clear" w:color="auto" w:fill="FFFFFF"/>
              </w:rPr>
              <w:t>10,00</w:t>
            </w:r>
          </w:p>
        </w:tc>
      </w:tr>
      <w:tr w:rsidR="00B022A9" w:rsidRPr="009A5F21" w:rsidTr="00B022A9">
        <w:tc>
          <w:tcPr>
            <w:tcW w:w="6912" w:type="dxa"/>
          </w:tcPr>
          <w:p w:rsidR="00B022A9" w:rsidRPr="009A5F21" w:rsidRDefault="00B022A9" w:rsidP="00B022A9">
            <w:pPr>
              <w:spacing w:line="360" w:lineRule="auto"/>
              <w:jc w:val="center"/>
              <w:rPr>
                <w:rFonts w:ascii="Century Gothic" w:hAnsi="Century Gothic"/>
                <w:b/>
                <w:sz w:val="24"/>
                <w:szCs w:val="24"/>
                <w:shd w:val="clear" w:color="auto" w:fill="FFFFFF"/>
              </w:rPr>
            </w:pPr>
            <w:r w:rsidRPr="009A5F21">
              <w:rPr>
                <w:rFonts w:ascii="Century Gothic" w:hAnsi="Century Gothic"/>
                <w:b/>
                <w:sz w:val="24"/>
                <w:szCs w:val="24"/>
                <w:shd w:val="clear" w:color="auto" w:fill="FFFFFF"/>
              </w:rPr>
              <w:t>TOTAL=</w:t>
            </w:r>
          </w:p>
        </w:tc>
        <w:tc>
          <w:tcPr>
            <w:tcW w:w="2159" w:type="dxa"/>
          </w:tcPr>
          <w:p w:rsidR="00B022A9" w:rsidRPr="009A5F21" w:rsidRDefault="00B022A9" w:rsidP="00675D0E">
            <w:pPr>
              <w:spacing w:line="360" w:lineRule="auto"/>
              <w:jc w:val="both"/>
              <w:rPr>
                <w:rFonts w:ascii="Century Gothic" w:hAnsi="Century Gothic"/>
                <w:b/>
                <w:sz w:val="24"/>
                <w:szCs w:val="24"/>
                <w:shd w:val="clear" w:color="auto" w:fill="FFFFFF"/>
              </w:rPr>
            </w:pPr>
            <w:r w:rsidRPr="009A5F21">
              <w:rPr>
                <w:rFonts w:ascii="Century Gothic" w:hAnsi="Century Gothic"/>
                <w:b/>
                <w:sz w:val="24"/>
                <w:szCs w:val="24"/>
                <w:shd w:val="clear" w:color="auto" w:fill="FFFFFF"/>
              </w:rPr>
              <w:t xml:space="preserve">R$ </w:t>
            </w:r>
            <w:r w:rsidR="00675D0E" w:rsidRPr="009A5F21">
              <w:rPr>
                <w:rFonts w:ascii="Century Gothic" w:hAnsi="Century Gothic"/>
                <w:b/>
                <w:sz w:val="24"/>
                <w:szCs w:val="24"/>
                <w:shd w:val="clear" w:color="auto" w:fill="FFFFFF"/>
              </w:rPr>
              <w:t>57.502,00</w:t>
            </w:r>
          </w:p>
        </w:tc>
      </w:tr>
    </w:tbl>
    <w:p w:rsidR="00123E08" w:rsidRDefault="00123E08" w:rsidP="008928C9">
      <w:pPr>
        <w:spacing w:line="360" w:lineRule="auto"/>
        <w:jc w:val="both"/>
        <w:rPr>
          <w:rFonts w:ascii="Century Gothic" w:hAnsi="Century Gothic"/>
          <w:color w:val="333333"/>
          <w:shd w:val="clear" w:color="auto" w:fill="FFFFFF"/>
        </w:rPr>
      </w:pPr>
    </w:p>
    <w:p w:rsidR="008928C9" w:rsidRPr="009A5F21" w:rsidRDefault="008928C9" w:rsidP="008928C9">
      <w:pPr>
        <w:spacing w:line="360" w:lineRule="auto"/>
        <w:jc w:val="both"/>
        <w:rPr>
          <w:rFonts w:ascii="Century Gothic" w:hAnsi="Century Gothic"/>
          <w:color w:val="333333"/>
          <w:shd w:val="clear" w:color="auto" w:fill="FFFFFF"/>
        </w:rPr>
      </w:pPr>
    </w:p>
    <w:tbl>
      <w:tblPr>
        <w:tblStyle w:val="Tabelacomgrade"/>
        <w:tblW w:w="0" w:type="auto"/>
        <w:tblLook w:val="04A0"/>
      </w:tblPr>
      <w:tblGrid>
        <w:gridCol w:w="6912"/>
        <w:gridCol w:w="2159"/>
      </w:tblGrid>
      <w:tr w:rsidR="00B022A9" w:rsidRPr="009A5F21" w:rsidTr="00492788">
        <w:tc>
          <w:tcPr>
            <w:tcW w:w="9071" w:type="dxa"/>
            <w:gridSpan w:val="2"/>
          </w:tcPr>
          <w:p w:rsidR="00B022A9" w:rsidRPr="009A5F21" w:rsidRDefault="00B022A9" w:rsidP="00B022A9">
            <w:pPr>
              <w:spacing w:line="360" w:lineRule="auto"/>
              <w:jc w:val="center"/>
              <w:rPr>
                <w:rFonts w:ascii="Century Gothic" w:hAnsi="Century Gothic"/>
                <w:b/>
                <w:sz w:val="24"/>
                <w:szCs w:val="24"/>
                <w:shd w:val="clear" w:color="auto" w:fill="FFFFFF"/>
              </w:rPr>
            </w:pPr>
            <w:r w:rsidRPr="009A5F21">
              <w:rPr>
                <w:rFonts w:ascii="Century Gothic" w:hAnsi="Century Gothic"/>
                <w:b/>
                <w:sz w:val="24"/>
                <w:szCs w:val="24"/>
                <w:shd w:val="clear" w:color="auto" w:fill="FFFFFF"/>
              </w:rPr>
              <w:t>AQUISIÇÕES DE MEDICAMENTOS</w:t>
            </w:r>
          </w:p>
        </w:tc>
      </w:tr>
      <w:tr w:rsidR="00B022A9" w:rsidRPr="009A5F21" w:rsidTr="00492788">
        <w:tc>
          <w:tcPr>
            <w:tcW w:w="9071" w:type="dxa"/>
            <w:gridSpan w:val="2"/>
          </w:tcPr>
          <w:p w:rsidR="00B022A9" w:rsidRPr="009A5F21" w:rsidRDefault="00B022A9" w:rsidP="00F72EDB">
            <w:pPr>
              <w:spacing w:line="360" w:lineRule="auto"/>
              <w:jc w:val="both"/>
              <w:rPr>
                <w:rFonts w:ascii="Century Gothic" w:hAnsi="Century Gothic"/>
                <w:b/>
                <w:sz w:val="24"/>
                <w:szCs w:val="24"/>
                <w:shd w:val="clear" w:color="auto" w:fill="FFFFFF"/>
              </w:rPr>
            </w:pPr>
            <w:r w:rsidRPr="009A5F21">
              <w:rPr>
                <w:rFonts w:ascii="Century Gothic" w:hAnsi="Century Gothic"/>
                <w:b/>
                <w:sz w:val="24"/>
                <w:szCs w:val="24"/>
                <w:shd w:val="clear" w:color="auto" w:fill="FFFFFF"/>
              </w:rPr>
              <w:t>MODO DE CONTRATAÇÃO: “Compra dispensada” – Lei Nº 8666/93, Art. 24, II (atualizado pela Lei Municipal Nº 1.068/2017)</w:t>
            </w:r>
          </w:p>
        </w:tc>
      </w:tr>
      <w:tr w:rsidR="00B022A9" w:rsidRPr="009A5F21" w:rsidTr="00492788">
        <w:tc>
          <w:tcPr>
            <w:tcW w:w="6912" w:type="dxa"/>
          </w:tcPr>
          <w:p w:rsidR="00B022A9" w:rsidRPr="009A5F21" w:rsidRDefault="00B022A9" w:rsidP="00F72EDB">
            <w:pPr>
              <w:spacing w:line="360" w:lineRule="auto"/>
              <w:jc w:val="center"/>
              <w:rPr>
                <w:rFonts w:ascii="Century Gothic" w:hAnsi="Century Gothic"/>
                <w:b/>
                <w:sz w:val="24"/>
                <w:szCs w:val="24"/>
                <w:shd w:val="clear" w:color="auto" w:fill="FFFFFF"/>
              </w:rPr>
            </w:pPr>
            <w:r w:rsidRPr="009A5F21">
              <w:rPr>
                <w:rFonts w:ascii="Century Gothic" w:hAnsi="Century Gothic"/>
                <w:b/>
                <w:sz w:val="24"/>
                <w:szCs w:val="24"/>
                <w:shd w:val="clear" w:color="auto" w:fill="FFFFFF"/>
              </w:rPr>
              <w:t>CREDOR</w:t>
            </w:r>
          </w:p>
        </w:tc>
        <w:tc>
          <w:tcPr>
            <w:tcW w:w="2159" w:type="dxa"/>
          </w:tcPr>
          <w:p w:rsidR="00B022A9" w:rsidRPr="009A5F21" w:rsidRDefault="00B022A9" w:rsidP="00F72EDB">
            <w:pPr>
              <w:spacing w:line="360" w:lineRule="auto"/>
              <w:jc w:val="center"/>
              <w:rPr>
                <w:rFonts w:ascii="Century Gothic" w:hAnsi="Century Gothic"/>
                <w:b/>
                <w:sz w:val="24"/>
                <w:szCs w:val="24"/>
                <w:shd w:val="clear" w:color="auto" w:fill="FFFFFF"/>
              </w:rPr>
            </w:pPr>
            <w:r w:rsidRPr="009A5F21">
              <w:rPr>
                <w:rFonts w:ascii="Century Gothic" w:hAnsi="Century Gothic"/>
                <w:b/>
                <w:sz w:val="24"/>
                <w:szCs w:val="24"/>
                <w:shd w:val="clear" w:color="auto" w:fill="FFFFFF"/>
              </w:rPr>
              <w:t>LIQUIDADO</w:t>
            </w:r>
          </w:p>
        </w:tc>
      </w:tr>
      <w:tr w:rsidR="00B022A9" w:rsidRPr="009A5F21" w:rsidTr="00492788">
        <w:tc>
          <w:tcPr>
            <w:tcW w:w="6912" w:type="dxa"/>
          </w:tcPr>
          <w:p w:rsidR="00B022A9" w:rsidRPr="009A5F21" w:rsidRDefault="00B022A9" w:rsidP="00F72EDB">
            <w:pPr>
              <w:spacing w:line="360" w:lineRule="auto"/>
              <w:jc w:val="both"/>
              <w:rPr>
                <w:rFonts w:ascii="Century Gothic" w:hAnsi="Century Gothic"/>
                <w:sz w:val="24"/>
                <w:szCs w:val="24"/>
                <w:shd w:val="clear" w:color="auto" w:fill="FFFFFF"/>
              </w:rPr>
            </w:pPr>
            <w:r w:rsidRPr="009A5F21">
              <w:rPr>
                <w:rFonts w:ascii="Century Gothic" w:hAnsi="Century Gothic"/>
                <w:sz w:val="24"/>
                <w:szCs w:val="24"/>
                <w:shd w:val="clear" w:color="auto" w:fill="FFFFFF"/>
              </w:rPr>
              <w:t xml:space="preserve">CNPJ: </w:t>
            </w:r>
            <w:r w:rsidR="00492788" w:rsidRPr="009A5F21">
              <w:rPr>
                <w:rFonts w:ascii="Century Gothic" w:hAnsi="Century Gothic"/>
                <w:sz w:val="24"/>
                <w:szCs w:val="24"/>
                <w:shd w:val="clear" w:color="auto" w:fill="FFFFFF"/>
              </w:rPr>
              <w:t>02.520.829/0001-40</w:t>
            </w:r>
            <w:r w:rsidRPr="009A5F21">
              <w:rPr>
                <w:rFonts w:ascii="Century Gothic" w:hAnsi="Century Gothic"/>
                <w:sz w:val="24"/>
                <w:szCs w:val="24"/>
                <w:shd w:val="clear" w:color="auto" w:fill="FFFFFF"/>
              </w:rPr>
              <w:t xml:space="preserve"> </w:t>
            </w:r>
            <w:r w:rsidR="00492788" w:rsidRPr="009A5F21">
              <w:rPr>
                <w:rFonts w:ascii="Century Gothic" w:hAnsi="Century Gothic"/>
                <w:sz w:val="24"/>
                <w:szCs w:val="24"/>
                <w:shd w:val="clear" w:color="auto" w:fill="FFFFFF"/>
              </w:rPr>
              <w:t>DIMASTER COMERCIO DE PRODUTOS HOSPITALARES LTDA</w:t>
            </w:r>
          </w:p>
          <w:p w:rsidR="00B022A9" w:rsidRPr="009A5F21" w:rsidRDefault="00B022A9" w:rsidP="00492788">
            <w:pPr>
              <w:spacing w:line="360" w:lineRule="auto"/>
              <w:jc w:val="both"/>
              <w:rPr>
                <w:rFonts w:ascii="Century Gothic" w:hAnsi="Century Gothic"/>
                <w:b/>
                <w:sz w:val="24"/>
                <w:szCs w:val="24"/>
                <w:shd w:val="clear" w:color="auto" w:fill="FFFFFF"/>
              </w:rPr>
            </w:pPr>
            <w:r w:rsidRPr="009A5F21">
              <w:rPr>
                <w:rFonts w:ascii="Century Gothic" w:hAnsi="Century Gothic"/>
                <w:b/>
                <w:sz w:val="24"/>
                <w:szCs w:val="24"/>
                <w:shd w:val="clear" w:color="auto" w:fill="FFFFFF"/>
              </w:rPr>
              <w:t xml:space="preserve">COD. DO FORNECEDOR: </w:t>
            </w:r>
            <w:r w:rsidR="00492788" w:rsidRPr="009A5F21">
              <w:rPr>
                <w:rFonts w:ascii="Century Gothic" w:hAnsi="Century Gothic"/>
                <w:b/>
                <w:sz w:val="24"/>
                <w:szCs w:val="24"/>
                <w:shd w:val="clear" w:color="auto" w:fill="FFFFFF"/>
              </w:rPr>
              <w:t>1746</w:t>
            </w:r>
          </w:p>
        </w:tc>
        <w:tc>
          <w:tcPr>
            <w:tcW w:w="2159" w:type="dxa"/>
          </w:tcPr>
          <w:p w:rsidR="00B022A9" w:rsidRPr="009A5F21" w:rsidRDefault="00B022A9" w:rsidP="00FA7527">
            <w:pPr>
              <w:spacing w:line="360" w:lineRule="auto"/>
              <w:rPr>
                <w:rFonts w:ascii="Century Gothic" w:hAnsi="Century Gothic"/>
                <w:sz w:val="24"/>
                <w:szCs w:val="24"/>
                <w:shd w:val="clear" w:color="auto" w:fill="FFFFFF"/>
              </w:rPr>
            </w:pPr>
            <w:r w:rsidRPr="009A5F21">
              <w:rPr>
                <w:rFonts w:ascii="Century Gothic" w:hAnsi="Century Gothic"/>
                <w:sz w:val="24"/>
                <w:szCs w:val="24"/>
                <w:shd w:val="clear" w:color="auto" w:fill="FFFFFF"/>
              </w:rPr>
              <w:t xml:space="preserve">R$ </w:t>
            </w:r>
            <w:r w:rsidR="00FA7527" w:rsidRPr="009A5F21">
              <w:rPr>
                <w:rFonts w:ascii="Century Gothic" w:hAnsi="Century Gothic"/>
                <w:sz w:val="24"/>
                <w:szCs w:val="24"/>
                <w:shd w:val="clear" w:color="auto" w:fill="FFFFFF"/>
              </w:rPr>
              <w:t>30.358,00</w:t>
            </w:r>
          </w:p>
        </w:tc>
      </w:tr>
      <w:tr w:rsidR="00B022A9" w:rsidRPr="009A5F21" w:rsidTr="00492788">
        <w:tc>
          <w:tcPr>
            <w:tcW w:w="6912" w:type="dxa"/>
          </w:tcPr>
          <w:p w:rsidR="00B022A9" w:rsidRPr="009A5F21" w:rsidRDefault="00B022A9" w:rsidP="00F72EDB">
            <w:pPr>
              <w:spacing w:line="360" w:lineRule="auto"/>
              <w:jc w:val="both"/>
              <w:rPr>
                <w:rFonts w:ascii="Century Gothic" w:hAnsi="Century Gothic"/>
                <w:sz w:val="24"/>
                <w:szCs w:val="24"/>
                <w:shd w:val="clear" w:color="auto" w:fill="FFFFFF"/>
              </w:rPr>
            </w:pPr>
            <w:r w:rsidRPr="009A5F21">
              <w:rPr>
                <w:rFonts w:ascii="Century Gothic" w:hAnsi="Century Gothic"/>
                <w:sz w:val="24"/>
                <w:szCs w:val="24"/>
                <w:shd w:val="clear" w:color="auto" w:fill="FFFFFF"/>
              </w:rPr>
              <w:t xml:space="preserve">CNPJ: </w:t>
            </w:r>
            <w:r w:rsidR="00492788" w:rsidRPr="009A5F21">
              <w:rPr>
                <w:rFonts w:ascii="Century Gothic" w:hAnsi="Century Gothic"/>
                <w:sz w:val="24"/>
                <w:szCs w:val="24"/>
                <w:shd w:val="clear" w:color="auto" w:fill="FFFFFF"/>
              </w:rPr>
              <w:t>02.192.932/0001-09 ADILVAN COMERCIO DISTRIBUIÇÃO LTDA</w:t>
            </w:r>
          </w:p>
          <w:p w:rsidR="00B022A9" w:rsidRPr="009A5F21" w:rsidRDefault="00B022A9" w:rsidP="00492788">
            <w:pPr>
              <w:spacing w:line="360" w:lineRule="auto"/>
              <w:jc w:val="both"/>
              <w:rPr>
                <w:rFonts w:ascii="Century Gothic" w:hAnsi="Century Gothic"/>
                <w:b/>
                <w:sz w:val="24"/>
                <w:szCs w:val="24"/>
                <w:shd w:val="clear" w:color="auto" w:fill="FFFFFF"/>
              </w:rPr>
            </w:pPr>
            <w:r w:rsidRPr="009A5F21">
              <w:rPr>
                <w:rFonts w:ascii="Century Gothic" w:hAnsi="Century Gothic"/>
                <w:b/>
                <w:sz w:val="24"/>
                <w:szCs w:val="24"/>
                <w:shd w:val="clear" w:color="auto" w:fill="FFFFFF"/>
              </w:rPr>
              <w:t xml:space="preserve">COD. DO FORNCEDOR: </w:t>
            </w:r>
            <w:r w:rsidR="00492788" w:rsidRPr="009A5F21">
              <w:rPr>
                <w:rFonts w:ascii="Century Gothic" w:hAnsi="Century Gothic"/>
                <w:b/>
                <w:sz w:val="24"/>
                <w:szCs w:val="24"/>
                <w:shd w:val="clear" w:color="auto" w:fill="FFFFFF"/>
              </w:rPr>
              <w:t>1803</w:t>
            </w:r>
          </w:p>
        </w:tc>
        <w:tc>
          <w:tcPr>
            <w:tcW w:w="2159" w:type="dxa"/>
          </w:tcPr>
          <w:p w:rsidR="00B022A9" w:rsidRPr="009A5F21" w:rsidRDefault="00B022A9" w:rsidP="00492788">
            <w:pPr>
              <w:spacing w:line="360" w:lineRule="auto"/>
              <w:jc w:val="both"/>
              <w:rPr>
                <w:rFonts w:ascii="Century Gothic" w:hAnsi="Century Gothic"/>
                <w:sz w:val="24"/>
                <w:szCs w:val="24"/>
                <w:shd w:val="clear" w:color="auto" w:fill="FFFFFF"/>
              </w:rPr>
            </w:pPr>
            <w:r w:rsidRPr="009A5F21">
              <w:rPr>
                <w:rFonts w:ascii="Century Gothic" w:hAnsi="Century Gothic"/>
                <w:sz w:val="24"/>
                <w:szCs w:val="24"/>
                <w:shd w:val="clear" w:color="auto" w:fill="FFFFFF"/>
              </w:rPr>
              <w:t xml:space="preserve">R$ </w:t>
            </w:r>
            <w:r w:rsidR="00492788" w:rsidRPr="009A5F21">
              <w:rPr>
                <w:rFonts w:ascii="Century Gothic" w:hAnsi="Century Gothic"/>
                <w:sz w:val="24"/>
                <w:szCs w:val="24"/>
                <w:shd w:val="clear" w:color="auto" w:fill="FFFFFF"/>
              </w:rPr>
              <w:t>4.181,34</w:t>
            </w:r>
          </w:p>
        </w:tc>
      </w:tr>
      <w:tr w:rsidR="00B022A9" w:rsidRPr="009A5F21" w:rsidTr="00492788">
        <w:tc>
          <w:tcPr>
            <w:tcW w:w="6912" w:type="dxa"/>
          </w:tcPr>
          <w:p w:rsidR="00492788" w:rsidRPr="009A5F21" w:rsidRDefault="00492788" w:rsidP="00492788">
            <w:pPr>
              <w:spacing w:line="360" w:lineRule="auto"/>
              <w:rPr>
                <w:rFonts w:ascii="Century Gothic" w:hAnsi="Century Gothic"/>
                <w:sz w:val="24"/>
                <w:szCs w:val="24"/>
                <w:shd w:val="clear" w:color="auto" w:fill="FFFFFF"/>
              </w:rPr>
            </w:pPr>
            <w:r w:rsidRPr="009A5F21">
              <w:rPr>
                <w:rFonts w:ascii="Century Gothic" w:hAnsi="Century Gothic"/>
                <w:sz w:val="24"/>
                <w:szCs w:val="24"/>
                <w:shd w:val="clear" w:color="auto" w:fill="FFFFFF"/>
              </w:rPr>
              <w:t>CNPJ: 13.470.384/0001-58 CMC PRODUTOS HOSPITALARES LTDA</w:t>
            </w:r>
          </w:p>
          <w:p w:rsidR="00B022A9" w:rsidRPr="009A5F21" w:rsidRDefault="00492788" w:rsidP="00492788">
            <w:pPr>
              <w:spacing w:line="360" w:lineRule="auto"/>
              <w:rPr>
                <w:rFonts w:ascii="Century Gothic" w:hAnsi="Century Gothic"/>
                <w:b/>
                <w:sz w:val="24"/>
                <w:szCs w:val="24"/>
                <w:shd w:val="clear" w:color="auto" w:fill="FFFFFF"/>
              </w:rPr>
            </w:pPr>
            <w:r w:rsidRPr="009A5F21">
              <w:rPr>
                <w:rFonts w:ascii="Century Gothic" w:hAnsi="Century Gothic"/>
                <w:b/>
                <w:sz w:val="24"/>
                <w:szCs w:val="24"/>
                <w:shd w:val="clear" w:color="auto" w:fill="FFFFFF"/>
              </w:rPr>
              <w:t>COD. DO FORNCEDOR: 2926</w:t>
            </w:r>
          </w:p>
        </w:tc>
        <w:tc>
          <w:tcPr>
            <w:tcW w:w="2159" w:type="dxa"/>
          </w:tcPr>
          <w:p w:rsidR="00B022A9" w:rsidRPr="009A5F21" w:rsidRDefault="00492788" w:rsidP="00F72EDB">
            <w:pPr>
              <w:spacing w:line="360" w:lineRule="auto"/>
              <w:jc w:val="both"/>
              <w:rPr>
                <w:rFonts w:ascii="Century Gothic" w:hAnsi="Century Gothic"/>
                <w:b/>
                <w:sz w:val="24"/>
                <w:szCs w:val="24"/>
                <w:shd w:val="clear" w:color="auto" w:fill="FFFFFF"/>
              </w:rPr>
            </w:pPr>
            <w:r w:rsidRPr="009A5F21">
              <w:rPr>
                <w:rFonts w:ascii="Century Gothic" w:hAnsi="Century Gothic"/>
                <w:sz w:val="24"/>
                <w:szCs w:val="24"/>
                <w:shd w:val="clear" w:color="auto" w:fill="FFFFFF"/>
              </w:rPr>
              <w:t>R$ 2.029,00</w:t>
            </w:r>
          </w:p>
        </w:tc>
      </w:tr>
      <w:tr w:rsidR="00492788" w:rsidRPr="009A5F21" w:rsidTr="00492788">
        <w:tc>
          <w:tcPr>
            <w:tcW w:w="6912" w:type="dxa"/>
          </w:tcPr>
          <w:p w:rsidR="00492788" w:rsidRPr="009A5F21" w:rsidRDefault="00492788" w:rsidP="00492788">
            <w:pPr>
              <w:spacing w:line="360" w:lineRule="auto"/>
              <w:rPr>
                <w:rFonts w:ascii="Century Gothic" w:hAnsi="Century Gothic"/>
                <w:sz w:val="24"/>
                <w:szCs w:val="24"/>
                <w:shd w:val="clear" w:color="auto" w:fill="FFFFFF"/>
              </w:rPr>
            </w:pPr>
            <w:r w:rsidRPr="009A5F21">
              <w:rPr>
                <w:rFonts w:ascii="Century Gothic" w:hAnsi="Century Gothic"/>
                <w:sz w:val="24"/>
                <w:szCs w:val="24"/>
                <w:shd w:val="clear" w:color="auto" w:fill="FFFFFF"/>
              </w:rPr>
              <w:t>CNPJ: 07.640.617/0001-10 DISTRIBUIDORA BRASIL COMERCIO DE PRODUTOS HOSPITALARES</w:t>
            </w:r>
          </w:p>
          <w:p w:rsidR="00492788" w:rsidRPr="009A5F21" w:rsidRDefault="00492788" w:rsidP="00492788">
            <w:pPr>
              <w:spacing w:line="360" w:lineRule="auto"/>
              <w:rPr>
                <w:rFonts w:ascii="Century Gothic" w:hAnsi="Century Gothic"/>
                <w:b/>
                <w:sz w:val="24"/>
                <w:szCs w:val="24"/>
                <w:shd w:val="clear" w:color="auto" w:fill="FFFFFF"/>
              </w:rPr>
            </w:pPr>
            <w:r w:rsidRPr="009A5F21">
              <w:rPr>
                <w:rFonts w:ascii="Century Gothic" w:hAnsi="Century Gothic"/>
                <w:b/>
                <w:sz w:val="24"/>
                <w:szCs w:val="24"/>
                <w:shd w:val="clear" w:color="auto" w:fill="FFFFFF"/>
              </w:rPr>
              <w:t>COD. DO FORNCEDOR: 2411</w:t>
            </w:r>
          </w:p>
        </w:tc>
        <w:tc>
          <w:tcPr>
            <w:tcW w:w="2159" w:type="dxa"/>
          </w:tcPr>
          <w:p w:rsidR="00492788" w:rsidRPr="009A5F21" w:rsidRDefault="00492788" w:rsidP="00FA7527">
            <w:pPr>
              <w:spacing w:line="360" w:lineRule="auto"/>
              <w:jc w:val="both"/>
              <w:rPr>
                <w:rFonts w:ascii="Century Gothic" w:hAnsi="Century Gothic"/>
                <w:b/>
                <w:sz w:val="24"/>
                <w:szCs w:val="24"/>
                <w:shd w:val="clear" w:color="auto" w:fill="FFFFFF"/>
              </w:rPr>
            </w:pPr>
            <w:r w:rsidRPr="009A5F21">
              <w:rPr>
                <w:rFonts w:ascii="Century Gothic" w:hAnsi="Century Gothic"/>
                <w:sz w:val="24"/>
                <w:szCs w:val="24"/>
                <w:shd w:val="clear" w:color="auto" w:fill="FFFFFF"/>
              </w:rPr>
              <w:t xml:space="preserve">R$ </w:t>
            </w:r>
            <w:r w:rsidR="00FA7527" w:rsidRPr="009A5F21">
              <w:rPr>
                <w:rFonts w:ascii="Century Gothic" w:hAnsi="Century Gothic"/>
                <w:sz w:val="24"/>
                <w:szCs w:val="24"/>
                <w:shd w:val="clear" w:color="auto" w:fill="FFFFFF"/>
              </w:rPr>
              <w:t>38.305,41</w:t>
            </w:r>
          </w:p>
        </w:tc>
      </w:tr>
      <w:tr w:rsidR="00492788" w:rsidRPr="009A5F21" w:rsidTr="00492788">
        <w:tc>
          <w:tcPr>
            <w:tcW w:w="6912" w:type="dxa"/>
          </w:tcPr>
          <w:p w:rsidR="00492788" w:rsidRPr="009A5F21" w:rsidRDefault="00492788" w:rsidP="00492788">
            <w:pPr>
              <w:spacing w:line="360" w:lineRule="auto"/>
              <w:rPr>
                <w:rFonts w:ascii="Century Gothic" w:hAnsi="Century Gothic"/>
                <w:sz w:val="24"/>
                <w:szCs w:val="24"/>
                <w:shd w:val="clear" w:color="auto" w:fill="FFFFFF"/>
              </w:rPr>
            </w:pPr>
            <w:r w:rsidRPr="009A5F21">
              <w:rPr>
                <w:rFonts w:ascii="Century Gothic" w:hAnsi="Century Gothic"/>
                <w:sz w:val="24"/>
                <w:szCs w:val="24"/>
                <w:shd w:val="clear" w:color="auto" w:fill="FFFFFF"/>
              </w:rPr>
              <w:t>CNPJ: 06.065.614/0001-38 SUPERMEDICA DISTR. HOSPITALAR EIRELLI</w:t>
            </w:r>
          </w:p>
          <w:p w:rsidR="00492788" w:rsidRPr="009A5F21" w:rsidRDefault="00492788" w:rsidP="00492788">
            <w:pPr>
              <w:spacing w:line="360" w:lineRule="auto"/>
              <w:rPr>
                <w:rFonts w:ascii="Century Gothic" w:hAnsi="Century Gothic"/>
                <w:b/>
                <w:sz w:val="24"/>
                <w:szCs w:val="24"/>
                <w:shd w:val="clear" w:color="auto" w:fill="FFFFFF"/>
              </w:rPr>
            </w:pPr>
            <w:r w:rsidRPr="009A5F21">
              <w:rPr>
                <w:rFonts w:ascii="Century Gothic" w:hAnsi="Century Gothic"/>
                <w:b/>
                <w:sz w:val="24"/>
                <w:szCs w:val="24"/>
                <w:shd w:val="clear" w:color="auto" w:fill="FFFFFF"/>
              </w:rPr>
              <w:t>COD. DO FORNCEDOR: 5308</w:t>
            </w:r>
          </w:p>
        </w:tc>
        <w:tc>
          <w:tcPr>
            <w:tcW w:w="2159" w:type="dxa"/>
          </w:tcPr>
          <w:p w:rsidR="00492788" w:rsidRPr="009A5F21" w:rsidRDefault="00492788" w:rsidP="00F72EDB">
            <w:pPr>
              <w:spacing w:line="360" w:lineRule="auto"/>
              <w:jc w:val="both"/>
              <w:rPr>
                <w:rFonts w:ascii="Century Gothic" w:hAnsi="Century Gothic"/>
                <w:b/>
                <w:sz w:val="24"/>
                <w:szCs w:val="24"/>
                <w:shd w:val="clear" w:color="auto" w:fill="FFFFFF"/>
              </w:rPr>
            </w:pPr>
            <w:r w:rsidRPr="009A5F21">
              <w:rPr>
                <w:rFonts w:ascii="Century Gothic" w:hAnsi="Century Gothic"/>
                <w:sz w:val="24"/>
                <w:szCs w:val="24"/>
                <w:shd w:val="clear" w:color="auto" w:fill="FFFFFF"/>
              </w:rPr>
              <w:t>R$ 5.499,71</w:t>
            </w:r>
          </w:p>
        </w:tc>
      </w:tr>
      <w:tr w:rsidR="00492788" w:rsidRPr="009A5F21" w:rsidTr="00492788">
        <w:tc>
          <w:tcPr>
            <w:tcW w:w="6912" w:type="dxa"/>
          </w:tcPr>
          <w:p w:rsidR="00492788" w:rsidRPr="009A5F21" w:rsidRDefault="00492788" w:rsidP="00F72EDB">
            <w:pPr>
              <w:spacing w:line="360" w:lineRule="auto"/>
              <w:jc w:val="center"/>
              <w:rPr>
                <w:rFonts w:ascii="Century Gothic" w:hAnsi="Century Gothic"/>
                <w:b/>
                <w:sz w:val="24"/>
                <w:szCs w:val="24"/>
                <w:shd w:val="clear" w:color="auto" w:fill="FFFFFF"/>
              </w:rPr>
            </w:pPr>
            <w:r w:rsidRPr="009A5F21">
              <w:rPr>
                <w:rFonts w:ascii="Century Gothic" w:hAnsi="Century Gothic"/>
                <w:b/>
                <w:sz w:val="24"/>
                <w:szCs w:val="24"/>
                <w:shd w:val="clear" w:color="auto" w:fill="FFFFFF"/>
              </w:rPr>
              <w:t>TOTAL=</w:t>
            </w:r>
          </w:p>
        </w:tc>
        <w:tc>
          <w:tcPr>
            <w:tcW w:w="2159" w:type="dxa"/>
          </w:tcPr>
          <w:p w:rsidR="00492788" w:rsidRPr="009A5F21" w:rsidRDefault="00492788" w:rsidP="00FA7527">
            <w:pPr>
              <w:spacing w:line="360" w:lineRule="auto"/>
              <w:jc w:val="both"/>
              <w:rPr>
                <w:rFonts w:ascii="Century Gothic" w:hAnsi="Century Gothic"/>
                <w:b/>
                <w:sz w:val="24"/>
                <w:szCs w:val="24"/>
                <w:shd w:val="clear" w:color="auto" w:fill="FFFFFF"/>
              </w:rPr>
            </w:pPr>
            <w:r w:rsidRPr="009A5F21">
              <w:rPr>
                <w:rFonts w:ascii="Century Gothic" w:hAnsi="Century Gothic"/>
                <w:b/>
                <w:sz w:val="24"/>
                <w:szCs w:val="24"/>
                <w:shd w:val="clear" w:color="auto" w:fill="FFFFFF"/>
              </w:rPr>
              <w:t xml:space="preserve">R$ </w:t>
            </w:r>
            <w:r w:rsidR="00FA7527" w:rsidRPr="009A5F21">
              <w:rPr>
                <w:rFonts w:ascii="Century Gothic" w:hAnsi="Century Gothic"/>
                <w:b/>
                <w:sz w:val="24"/>
                <w:szCs w:val="24"/>
                <w:shd w:val="clear" w:color="auto" w:fill="FFFFFF"/>
              </w:rPr>
              <w:t>80.373,46</w:t>
            </w:r>
          </w:p>
        </w:tc>
      </w:tr>
    </w:tbl>
    <w:p w:rsidR="00123E08" w:rsidRPr="009A5F21" w:rsidRDefault="00123E08" w:rsidP="00E53E17">
      <w:pPr>
        <w:spacing w:line="360" w:lineRule="auto"/>
        <w:ind w:firstLine="709"/>
        <w:jc w:val="both"/>
        <w:rPr>
          <w:rFonts w:ascii="Century Gothic" w:hAnsi="Century Gothic"/>
          <w:color w:val="333333"/>
          <w:shd w:val="clear" w:color="auto" w:fill="FFFFFF"/>
        </w:rPr>
      </w:pPr>
    </w:p>
    <w:tbl>
      <w:tblPr>
        <w:tblStyle w:val="Tabelacomgrade"/>
        <w:tblW w:w="0" w:type="auto"/>
        <w:tblLook w:val="04A0"/>
      </w:tblPr>
      <w:tblGrid>
        <w:gridCol w:w="6912"/>
        <w:gridCol w:w="2159"/>
      </w:tblGrid>
      <w:tr w:rsidR="00CD4A52" w:rsidRPr="009A5F21" w:rsidTr="00F72EDB">
        <w:tc>
          <w:tcPr>
            <w:tcW w:w="9071" w:type="dxa"/>
            <w:gridSpan w:val="2"/>
          </w:tcPr>
          <w:p w:rsidR="00CD4A52" w:rsidRPr="009A5F21" w:rsidRDefault="00CD4A52" w:rsidP="00E70F54">
            <w:pPr>
              <w:spacing w:line="360" w:lineRule="auto"/>
              <w:jc w:val="center"/>
              <w:rPr>
                <w:rFonts w:ascii="Century Gothic" w:hAnsi="Century Gothic"/>
                <w:b/>
                <w:sz w:val="24"/>
                <w:szCs w:val="24"/>
                <w:shd w:val="clear" w:color="auto" w:fill="FFFFFF"/>
              </w:rPr>
            </w:pPr>
            <w:r w:rsidRPr="009A5F21">
              <w:rPr>
                <w:rFonts w:ascii="Century Gothic" w:hAnsi="Century Gothic"/>
                <w:b/>
                <w:sz w:val="24"/>
                <w:szCs w:val="24"/>
                <w:shd w:val="clear" w:color="auto" w:fill="FFFFFF"/>
              </w:rPr>
              <w:lastRenderedPageBreak/>
              <w:t xml:space="preserve">AQUISIÇÕES DE </w:t>
            </w:r>
            <w:r w:rsidR="00E70F54" w:rsidRPr="009A5F21">
              <w:rPr>
                <w:rFonts w:ascii="Century Gothic" w:hAnsi="Century Gothic"/>
                <w:b/>
                <w:sz w:val="24"/>
                <w:szCs w:val="24"/>
                <w:shd w:val="clear" w:color="auto" w:fill="FFFFFF"/>
              </w:rPr>
              <w:t>PEÇAS</w:t>
            </w:r>
            <w:r w:rsidR="001E057B" w:rsidRPr="009A5F21">
              <w:rPr>
                <w:rFonts w:ascii="Century Gothic" w:hAnsi="Century Gothic"/>
                <w:b/>
                <w:sz w:val="24"/>
                <w:szCs w:val="24"/>
                <w:shd w:val="clear" w:color="auto" w:fill="FFFFFF"/>
              </w:rPr>
              <w:t xml:space="preserve"> PARA VEÍCULOS</w:t>
            </w:r>
          </w:p>
        </w:tc>
      </w:tr>
      <w:tr w:rsidR="00CD4A52" w:rsidRPr="009A5F21" w:rsidTr="00F72EDB">
        <w:tc>
          <w:tcPr>
            <w:tcW w:w="9071" w:type="dxa"/>
            <w:gridSpan w:val="2"/>
          </w:tcPr>
          <w:p w:rsidR="00CD4A52" w:rsidRPr="009A5F21" w:rsidRDefault="00CD4A52" w:rsidP="00F72EDB">
            <w:pPr>
              <w:spacing w:line="360" w:lineRule="auto"/>
              <w:jc w:val="both"/>
              <w:rPr>
                <w:rFonts w:ascii="Century Gothic" w:hAnsi="Century Gothic"/>
                <w:b/>
                <w:sz w:val="24"/>
                <w:szCs w:val="24"/>
                <w:shd w:val="clear" w:color="auto" w:fill="FFFFFF"/>
              </w:rPr>
            </w:pPr>
            <w:r w:rsidRPr="009A5F21">
              <w:rPr>
                <w:rFonts w:ascii="Century Gothic" w:hAnsi="Century Gothic"/>
                <w:b/>
                <w:sz w:val="24"/>
                <w:szCs w:val="24"/>
                <w:shd w:val="clear" w:color="auto" w:fill="FFFFFF"/>
              </w:rPr>
              <w:t>MODO DE CONTRATAÇÃO: “Compra dispensada” – Lei Nº 8666/93, Art. 24, II (atualizado pela Lei Municipal Nº 1.068/2017)</w:t>
            </w:r>
          </w:p>
        </w:tc>
      </w:tr>
      <w:tr w:rsidR="00CD4A52" w:rsidRPr="009A5F21" w:rsidTr="00F72EDB">
        <w:tc>
          <w:tcPr>
            <w:tcW w:w="6912" w:type="dxa"/>
          </w:tcPr>
          <w:p w:rsidR="00CD4A52" w:rsidRPr="009A5F21" w:rsidRDefault="00CD4A52" w:rsidP="00F72EDB">
            <w:pPr>
              <w:spacing w:line="360" w:lineRule="auto"/>
              <w:jc w:val="center"/>
              <w:rPr>
                <w:rFonts w:ascii="Century Gothic" w:hAnsi="Century Gothic"/>
                <w:b/>
                <w:sz w:val="24"/>
                <w:szCs w:val="24"/>
                <w:shd w:val="clear" w:color="auto" w:fill="FFFFFF"/>
              </w:rPr>
            </w:pPr>
            <w:r w:rsidRPr="009A5F21">
              <w:rPr>
                <w:rFonts w:ascii="Century Gothic" w:hAnsi="Century Gothic"/>
                <w:b/>
                <w:sz w:val="24"/>
                <w:szCs w:val="24"/>
                <w:shd w:val="clear" w:color="auto" w:fill="FFFFFF"/>
              </w:rPr>
              <w:t>CREDOR</w:t>
            </w:r>
          </w:p>
        </w:tc>
        <w:tc>
          <w:tcPr>
            <w:tcW w:w="2159" w:type="dxa"/>
          </w:tcPr>
          <w:p w:rsidR="00CD4A52" w:rsidRPr="009A5F21" w:rsidRDefault="00CD4A52" w:rsidP="00F72EDB">
            <w:pPr>
              <w:spacing w:line="360" w:lineRule="auto"/>
              <w:jc w:val="center"/>
              <w:rPr>
                <w:rFonts w:ascii="Century Gothic" w:hAnsi="Century Gothic"/>
                <w:b/>
                <w:sz w:val="24"/>
                <w:szCs w:val="24"/>
                <w:shd w:val="clear" w:color="auto" w:fill="FFFFFF"/>
              </w:rPr>
            </w:pPr>
            <w:r w:rsidRPr="009A5F21">
              <w:rPr>
                <w:rFonts w:ascii="Century Gothic" w:hAnsi="Century Gothic"/>
                <w:b/>
                <w:sz w:val="24"/>
                <w:szCs w:val="24"/>
                <w:shd w:val="clear" w:color="auto" w:fill="FFFFFF"/>
              </w:rPr>
              <w:t>LIQUIDADO</w:t>
            </w:r>
          </w:p>
        </w:tc>
      </w:tr>
      <w:tr w:rsidR="00CD4A52" w:rsidRPr="009A5F21" w:rsidTr="00F72EDB">
        <w:tc>
          <w:tcPr>
            <w:tcW w:w="6912" w:type="dxa"/>
          </w:tcPr>
          <w:p w:rsidR="00CD4A52" w:rsidRPr="009A5F21" w:rsidRDefault="00CD4A52" w:rsidP="00F72EDB">
            <w:pPr>
              <w:spacing w:line="360" w:lineRule="auto"/>
              <w:jc w:val="both"/>
              <w:rPr>
                <w:rFonts w:ascii="Century Gothic" w:hAnsi="Century Gothic"/>
                <w:sz w:val="24"/>
                <w:szCs w:val="24"/>
                <w:shd w:val="clear" w:color="auto" w:fill="FFFFFF"/>
              </w:rPr>
            </w:pPr>
            <w:r w:rsidRPr="009A5F21">
              <w:rPr>
                <w:rFonts w:ascii="Century Gothic" w:hAnsi="Century Gothic"/>
                <w:sz w:val="24"/>
                <w:szCs w:val="24"/>
                <w:shd w:val="clear" w:color="auto" w:fill="FFFFFF"/>
              </w:rPr>
              <w:t xml:space="preserve">CNPJ: </w:t>
            </w:r>
            <w:r w:rsidR="00B67E21" w:rsidRPr="009A5F21">
              <w:rPr>
                <w:rFonts w:ascii="Century Gothic" w:hAnsi="Century Gothic"/>
                <w:sz w:val="24"/>
                <w:szCs w:val="24"/>
                <w:shd w:val="clear" w:color="auto" w:fill="FFFFFF"/>
              </w:rPr>
              <w:t>24.979.692/0001-20  CAROLINA VEICULOS LTDA</w:t>
            </w:r>
          </w:p>
          <w:p w:rsidR="00CD4A52" w:rsidRPr="009A5F21" w:rsidRDefault="00CD4A52" w:rsidP="00EA5901">
            <w:pPr>
              <w:spacing w:line="360" w:lineRule="auto"/>
              <w:jc w:val="both"/>
              <w:rPr>
                <w:rFonts w:ascii="Century Gothic" w:hAnsi="Century Gothic"/>
                <w:b/>
                <w:sz w:val="24"/>
                <w:szCs w:val="24"/>
                <w:shd w:val="clear" w:color="auto" w:fill="FFFFFF"/>
              </w:rPr>
            </w:pPr>
            <w:r w:rsidRPr="009A5F21">
              <w:rPr>
                <w:rFonts w:ascii="Century Gothic" w:hAnsi="Century Gothic"/>
                <w:b/>
                <w:sz w:val="24"/>
                <w:szCs w:val="24"/>
                <w:shd w:val="clear" w:color="auto" w:fill="FFFFFF"/>
              </w:rPr>
              <w:t xml:space="preserve">COD. DO FORNECEDOR: </w:t>
            </w:r>
            <w:r w:rsidR="00B67E21" w:rsidRPr="009A5F21">
              <w:rPr>
                <w:rFonts w:ascii="Century Gothic" w:hAnsi="Century Gothic"/>
                <w:b/>
                <w:sz w:val="24"/>
                <w:szCs w:val="24"/>
                <w:shd w:val="clear" w:color="auto" w:fill="FFFFFF"/>
              </w:rPr>
              <w:t>1883</w:t>
            </w:r>
          </w:p>
        </w:tc>
        <w:tc>
          <w:tcPr>
            <w:tcW w:w="2159" w:type="dxa"/>
          </w:tcPr>
          <w:p w:rsidR="00CD4A52" w:rsidRPr="009A5F21" w:rsidRDefault="00CD4A52" w:rsidP="00EA5901">
            <w:pPr>
              <w:spacing w:line="360" w:lineRule="auto"/>
              <w:rPr>
                <w:rFonts w:ascii="Century Gothic" w:hAnsi="Century Gothic"/>
                <w:sz w:val="24"/>
                <w:szCs w:val="24"/>
                <w:shd w:val="clear" w:color="auto" w:fill="FFFFFF"/>
              </w:rPr>
            </w:pPr>
            <w:r w:rsidRPr="009A5F21">
              <w:rPr>
                <w:rFonts w:ascii="Century Gothic" w:hAnsi="Century Gothic"/>
                <w:sz w:val="24"/>
                <w:szCs w:val="24"/>
                <w:shd w:val="clear" w:color="auto" w:fill="FFFFFF"/>
              </w:rPr>
              <w:t xml:space="preserve">R$ </w:t>
            </w:r>
            <w:r w:rsidR="00B67E21" w:rsidRPr="009A5F21">
              <w:rPr>
                <w:rFonts w:ascii="Century Gothic" w:hAnsi="Century Gothic"/>
                <w:sz w:val="24"/>
                <w:szCs w:val="24"/>
                <w:shd w:val="clear" w:color="auto" w:fill="FFFFFF"/>
              </w:rPr>
              <w:t>1.280,19</w:t>
            </w:r>
          </w:p>
        </w:tc>
      </w:tr>
      <w:tr w:rsidR="00CD4A52" w:rsidRPr="009A5F21" w:rsidTr="00B67E21">
        <w:tc>
          <w:tcPr>
            <w:tcW w:w="6912" w:type="dxa"/>
            <w:shd w:val="clear" w:color="auto" w:fill="auto"/>
          </w:tcPr>
          <w:p w:rsidR="00CD4A52" w:rsidRPr="009A5F21" w:rsidRDefault="00CD4A52" w:rsidP="00F72EDB">
            <w:pPr>
              <w:spacing w:line="360" w:lineRule="auto"/>
              <w:jc w:val="both"/>
              <w:rPr>
                <w:rFonts w:ascii="Century Gothic" w:hAnsi="Century Gothic"/>
                <w:sz w:val="24"/>
                <w:szCs w:val="24"/>
                <w:shd w:val="clear" w:color="auto" w:fill="FFFFFF"/>
              </w:rPr>
            </w:pPr>
            <w:r w:rsidRPr="009A5F21">
              <w:rPr>
                <w:rFonts w:ascii="Century Gothic" w:hAnsi="Century Gothic"/>
                <w:sz w:val="24"/>
                <w:szCs w:val="24"/>
                <w:shd w:val="clear" w:color="auto" w:fill="FFFFFF"/>
              </w:rPr>
              <w:t xml:space="preserve">CNPJ: </w:t>
            </w:r>
            <w:r w:rsidR="00B67E21" w:rsidRPr="009A5F21">
              <w:rPr>
                <w:rFonts w:ascii="Century Gothic" w:hAnsi="Century Gothic"/>
                <w:sz w:val="24"/>
                <w:szCs w:val="24"/>
                <w:shd w:val="clear" w:color="auto" w:fill="FFFFFF"/>
              </w:rPr>
              <w:t>37.504.289/0001-96 A. J. DOMINGUES DA SILVA E CIA LTDA - EPP</w:t>
            </w:r>
          </w:p>
          <w:p w:rsidR="00CD4A52" w:rsidRPr="009A5F21" w:rsidRDefault="00CD4A52" w:rsidP="00EA5901">
            <w:pPr>
              <w:spacing w:line="360" w:lineRule="auto"/>
              <w:jc w:val="both"/>
              <w:rPr>
                <w:rFonts w:ascii="Century Gothic" w:hAnsi="Century Gothic"/>
                <w:b/>
                <w:sz w:val="24"/>
                <w:szCs w:val="24"/>
                <w:shd w:val="clear" w:color="auto" w:fill="FFFFFF"/>
              </w:rPr>
            </w:pPr>
            <w:r w:rsidRPr="009A5F21">
              <w:rPr>
                <w:rFonts w:ascii="Century Gothic" w:hAnsi="Century Gothic"/>
                <w:b/>
                <w:sz w:val="24"/>
                <w:szCs w:val="24"/>
                <w:shd w:val="clear" w:color="auto" w:fill="FFFFFF"/>
              </w:rPr>
              <w:t xml:space="preserve">COD. DO FORNCEDOR: </w:t>
            </w:r>
            <w:r w:rsidR="00B67E21" w:rsidRPr="009A5F21">
              <w:rPr>
                <w:rFonts w:ascii="Century Gothic" w:hAnsi="Century Gothic"/>
                <w:b/>
                <w:sz w:val="24"/>
                <w:szCs w:val="24"/>
                <w:shd w:val="clear" w:color="auto" w:fill="FFFFFF"/>
              </w:rPr>
              <w:t>65</w:t>
            </w:r>
          </w:p>
        </w:tc>
        <w:tc>
          <w:tcPr>
            <w:tcW w:w="2159" w:type="dxa"/>
          </w:tcPr>
          <w:p w:rsidR="00CD4A52" w:rsidRPr="009A5F21" w:rsidRDefault="00CD4A52" w:rsidP="00EA5901">
            <w:pPr>
              <w:spacing w:line="360" w:lineRule="auto"/>
              <w:jc w:val="both"/>
              <w:rPr>
                <w:rFonts w:ascii="Century Gothic" w:hAnsi="Century Gothic"/>
                <w:sz w:val="24"/>
                <w:szCs w:val="24"/>
                <w:shd w:val="clear" w:color="auto" w:fill="FFFFFF"/>
              </w:rPr>
            </w:pPr>
            <w:r w:rsidRPr="009A5F21">
              <w:rPr>
                <w:rFonts w:ascii="Century Gothic" w:hAnsi="Century Gothic"/>
                <w:sz w:val="24"/>
                <w:szCs w:val="24"/>
                <w:shd w:val="clear" w:color="auto" w:fill="FFFFFF"/>
              </w:rPr>
              <w:t xml:space="preserve">R$ </w:t>
            </w:r>
            <w:r w:rsidR="00B67E21" w:rsidRPr="009A5F21">
              <w:rPr>
                <w:rFonts w:ascii="Century Gothic" w:hAnsi="Century Gothic"/>
                <w:sz w:val="24"/>
                <w:szCs w:val="24"/>
                <w:shd w:val="clear" w:color="auto" w:fill="FFFFFF"/>
              </w:rPr>
              <w:t>1.367,80</w:t>
            </w:r>
          </w:p>
        </w:tc>
      </w:tr>
      <w:tr w:rsidR="00CD4A52" w:rsidRPr="009A5F21" w:rsidTr="00F72EDB">
        <w:tc>
          <w:tcPr>
            <w:tcW w:w="6912" w:type="dxa"/>
          </w:tcPr>
          <w:p w:rsidR="00CD4A52" w:rsidRPr="009A5F21" w:rsidRDefault="00CD4A52" w:rsidP="00F72EDB">
            <w:pPr>
              <w:spacing w:line="360" w:lineRule="auto"/>
              <w:rPr>
                <w:rFonts w:ascii="Century Gothic" w:hAnsi="Century Gothic"/>
                <w:sz w:val="24"/>
                <w:szCs w:val="24"/>
                <w:shd w:val="clear" w:color="auto" w:fill="FFFFFF"/>
              </w:rPr>
            </w:pPr>
            <w:r w:rsidRPr="009A5F21">
              <w:rPr>
                <w:rFonts w:ascii="Century Gothic" w:hAnsi="Century Gothic"/>
                <w:sz w:val="24"/>
                <w:szCs w:val="24"/>
                <w:shd w:val="clear" w:color="auto" w:fill="FFFFFF"/>
              </w:rPr>
              <w:t xml:space="preserve">CNPJ: </w:t>
            </w:r>
            <w:r w:rsidR="00B67E21" w:rsidRPr="009A5F21">
              <w:rPr>
                <w:rFonts w:ascii="Century Gothic" w:hAnsi="Century Gothic"/>
                <w:sz w:val="24"/>
                <w:szCs w:val="24"/>
                <w:shd w:val="clear" w:color="auto" w:fill="FFFFFF"/>
              </w:rPr>
              <w:t>14.236.094/0001-07 JONILDO VILANOVA DA SILVA</w:t>
            </w:r>
          </w:p>
          <w:p w:rsidR="00CD4A52" w:rsidRPr="009A5F21" w:rsidRDefault="00CD4A52" w:rsidP="00EA5901">
            <w:pPr>
              <w:spacing w:line="360" w:lineRule="auto"/>
              <w:rPr>
                <w:rFonts w:ascii="Century Gothic" w:hAnsi="Century Gothic"/>
                <w:b/>
                <w:sz w:val="24"/>
                <w:szCs w:val="24"/>
                <w:shd w:val="clear" w:color="auto" w:fill="FFFFFF"/>
              </w:rPr>
            </w:pPr>
            <w:r w:rsidRPr="009A5F21">
              <w:rPr>
                <w:rFonts w:ascii="Century Gothic" w:hAnsi="Century Gothic"/>
                <w:b/>
                <w:sz w:val="24"/>
                <w:szCs w:val="24"/>
                <w:shd w:val="clear" w:color="auto" w:fill="FFFFFF"/>
              </w:rPr>
              <w:t xml:space="preserve">COD. DO FORNCEDOR: </w:t>
            </w:r>
            <w:r w:rsidR="00B67E21" w:rsidRPr="009A5F21">
              <w:rPr>
                <w:rFonts w:ascii="Century Gothic" w:hAnsi="Century Gothic"/>
                <w:b/>
                <w:sz w:val="24"/>
                <w:szCs w:val="24"/>
                <w:shd w:val="clear" w:color="auto" w:fill="FFFFFF"/>
              </w:rPr>
              <w:t>2278</w:t>
            </w:r>
          </w:p>
        </w:tc>
        <w:tc>
          <w:tcPr>
            <w:tcW w:w="2159" w:type="dxa"/>
          </w:tcPr>
          <w:p w:rsidR="00CD4A52" w:rsidRPr="009A5F21" w:rsidRDefault="00CD4A52" w:rsidP="00EA5901">
            <w:pPr>
              <w:spacing w:line="360" w:lineRule="auto"/>
              <w:jc w:val="both"/>
              <w:rPr>
                <w:rFonts w:ascii="Century Gothic" w:hAnsi="Century Gothic"/>
                <w:b/>
                <w:sz w:val="24"/>
                <w:szCs w:val="24"/>
                <w:shd w:val="clear" w:color="auto" w:fill="FFFFFF"/>
              </w:rPr>
            </w:pPr>
            <w:r w:rsidRPr="009A5F21">
              <w:rPr>
                <w:rFonts w:ascii="Century Gothic" w:hAnsi="Century Gothic"/>
                <w:sz w:val="24"/>
                <w:szCs w:val="24"/>
                <w:shd w:val="clear" w:color="auto" w:fill="FFFFFF"/>
              </w:rPr>
              <w:t xml:space="preserve">R$ </w:t>
            </w:r>
            <w:r w:rsidR="00B67E21" w:rsidRPr="009A5F21">
              <w:rPr>
                <w:rFonts w:ascii="Century Gothic" w:hAnsi="Century Gothic"/>
                <w:sz w:val="24"/>
                <w:szCs w:val="24"/>
                <w:shd w:val="clear" w:color="auto" w:fill="FFFFFF"/>
              </w:rPr>
              <w:t>6.801,00</w:t>
            </w:r>
          </w:p>
        </w:tc>
      </w:tr>
      <w:tr w:rsidR="00CD4A52" w:rsidRPr="009A5F21" w:rsidTr="00F72EDB">
        <w:tc>
          <w:tcPr>
            <w:tcW w:w="6912" w:type="dxa"/>
          </w:tcPr>
          <w:p w:rsidR="00CD4A52" w:rsidRPr="009A5F21" w:rsidRDefault="00CD4A52" w:rsidP="00F72EDB">
            <w:pPr>
              <w:spacing w:line="360" w:lineRule="auto"/>
              <w:rPr>
                <w:rFonts w:ascii="Century Gothic" w:hAnsi="Century Gothic"/>
                <w:sz w:val="24"/>
                <w:szCs w:val="24"/>
                <w:shd w:val="clear" w:color="auto" w:fill="FFFFFF"/>
              </w:rPr>
            </w:pPr>
            <w:r w:rsidRPr="009A5F21">
              <w:rPr>
                <w:rFonts w:ascii="Century Gothic" w:hAnsi="Century Gothic"/>
                <w:sz w:val="24"/>
                <w:szCs w:val="24"/>
                <w:shd w:val="clear" w:color="auto" w:fill="FFFFFF"/>
              </w:rPr>
              <w:t xml:space="preserve">CNPJ: </w:t>
            </w:r>
            <w:r w:rsidR="00945634" w:rsidRPr="009A5F21">
              <w:rPr>
                <w:rFonts w:ascii="Century Gothic" w:hAnsi="Century Gothic"/>
                <w:sz w:val="24"/>
                <w:szCs w:val="24"/>
                <w:shd w:val="clear" w:color="auto" w:fill="FFFFFF"/>
              </w:rPr>
              <w:t>10.701.588/0001-64 PARANA COM. DE PEÇAS E SERVIÇOS MECANICOS LTDA-ME</w:t>
            </w:r>
          </w:p>
          <w:p w:rsidR="00CD4A52" w:rsidRPr="009A5F21" w:rsidRDefault="00CD4A52" w:rsidP="00EA5901">
            <w:pPr>
              <w:spacing w:line="360" w:lineRule="auto"/>
              <w:rPr>
                <w:rFonts w:ascii="Century Gothic" w:hAnsi="Century Gothic"/>
                <w:b/>
                <w:sz w:val="24"/>
                <w:szCs w:val="24"/>
                <w:shd w:val="clear" w:color="auto" w:fill="FFFFFF"/>
              </w:rPr>
            </w:pPr>
            <w:r w:rsidRPr="009A5F21">
              <w:rPr>
                <w:rFonts w:ascii="Century Gothic" w:hAnsi="Century Gothic"/>
                <w:b/>
                <w:sz w:val="24"/>
                <w:szCs w:val="24"/>
                <w:shd w:val="clear" w:color="auto" w:fill="FFFFFF"/>
              </w:rPr>
              <w:t xml:space="preserve">COD. DO FORNCEDOR: </w:t>
            </w:r>
            <w:r w:rsidR="00945634" w:rsidRPr="009A5F21">
              <w:rPr>
                <w:rFonts w:ascii="Century Gothic" w:hAnsi="Century Gothic"/>
                <w:b/>
                <w:sz w:val="24"/>
                <w:szCs w:val="24"/>
                <w:shd w:val="clear" w:color="auto" w:fill="FFFFFF"/>
              </w:rPr>
              <w:t>2227</w:t>
            </w:r>
          </w:p>
        </w:tc>
        <w:tc>
          <w:tcPr>
            <w:tcW w:w="2159" w:type="dxa"/>
          </w:tcPr>
          <w:p w:rsidR="00CD4A52" w:rsidRPr="009A5F21" w:rsidRDefault="00CD4A52" w:rsidP="00EA5901">
            <w:pPr>
              <w:spacing w:line="360" w:lineRule="auto"/>
              <w:jc w:val="both"/>
              <w:rPr>
                <w:rFonts w:ascii="Century Gothic" w:hAnsi="Century Gothic"/>
                <w:b/>
                <w:sz w:val="24"/>
                <w:szCs w:val="24"/>
                <w:shd w:val="clear" w:color="auto" w:fill="FFFFFF"/>
              </w:rPr>
            </w:pPr>
            <w:r w:rsidRPr="009A5F21">
              <w:rPr>
                <w:rFonts w:ascii="Century Gothic" w:hAnsi="Century Gothic"/>
                <w:sz w:val="24"/>
                <w:szCs w:val="24"/>
                <w:shd w:val="clear" w:color="auto" w:fill="FFFFFF"/>
              </w:rPr>
              <w:t xml:space="preserve">R$ </w:t>
            </w:r>
            <w:r w:rsidR="00945634" w:rsidRPr="009A5F21">
              <w:rPr>
                <w:rFonts w:ascii="Century Gothic" w:hAnsi="Century Gothic"/>
                <w:sz w:val="24"/>
                <w:szCs w:val="24"/>
                <w:shd w:val="clear" w:color="auto" w:fill="FFFFFF"/>
              </w:rPr>
              <w:t>15.305,25</w:t>
            </w:r>
          </w:p>
        </w:tc>
      </w:tr>
      <w:tr w:rsidR="00CD4A52" w:rsidRPr="009A5F21" w:rsidTr="00F72EDB">
        <w:tc>
          <w:tcPr>
            <w:tcW w:w="6912" w:type="dxa"/>
          </w:tcPr>
          <w:p w:rsidR="00CD4A52" w:rsidRPr="009A5F21" w:rsidRDefault="00CD4A52" w:rsidP="00F72EDB">
            <w:pPr>
              <w:spacing w:line="360" w:lineRule="auto"/>
              <w:rPr>
                <w:rFonts w:ascii="Century Gothic" w:hAnsi="Century Gothic"/>
                <w:sz w:val="24"/>
                <w:szCs w:val="24"/>
                <w:shd w:val="clear" w:color="auto" w:fill="FFFFFF"/>
              </w:rPr>
            </w:pPr>
            <w:r w:rsidRPr="009A5F21">
              <w:rPr>
                <w:rFonts w:ascii="Century Gothic" w:hAnsi="Century Gothic"/>
                <w:sz w:val="24"/>
                <w:szCs w:val="24"/>
                <w:shd w:val="clear" w:color="auto" w:fill="FFFFFF"/>
              </w:rPr>
              <w:t xml:space="preserve">CNPJ: </w:t>
            </w:r>
            <w:r w:rsidR="00177FD6" w:rsidRPr="009A5F21">
              <w:rPr>
                <w:rFonts w:ascii="Century Gothic" w:hAnsi="Century Gothic"/>
                <w:sz w:val="24"/>
                <w:szCs w:val="24"/>
                <w:shd w:val="clear" w:color="auto" w:fill="FFFFFF"/>
              </w:rPr>
              <w:t>25.202.716/0001-00 SERGIO ALVES SOUZA</w:t>
            </w:r>
          </w:p>
          <w:p w:rsidR="00CD4A52" w:rsidRPr="009A5F21" w:rsidRDefault="00CD4A52" w:rsidP="00EA5901">
            <w:pPr>
              <w:spacing w:line="360" w:lineRule="auto"/>
              <w:rPr>
                <w:rFonts w:ascii="Century Gothic" w:hAnsi="Century Gothic"/>
                <w:b/>
                <w:sz w:val="24"/>
                <w:szCs w:val="24"/>
                <w:shd w:val="clear" w:color="auto" w:fill="FFFFFF"/>
              </w:rPr>
            </w:pPr>
            <w:r w:rsidRPr="009A5F21">
              <w:rPr>
                <w:rFonts w:ascii="Century Gothic" w:hAnsi="Century Gothic"/>
                <w:b/>
                <w:sz w:val="24"/>
                <w:szCs w:val="24"/>
                <w:shd w:val="clear" w:color="auto" w:fill="FFFFFF"/>
              </w:rPr>
              <w:t xml:space="preserve">COD. DO FORNCEDOR: </w:t>
            </w:r>
            <w:r w:rsidR="00177FD6" w:rsidRPr="009A5F21">
              <w:rPr>
                <w:rFonts w:ascii="Century Gothic" w:hAnsi="Century Gothic"/>
                <w:b/>
                <w:sz w:val="24"/>
                <w:szCs w:val="24"/>
                <w:shd w:val="clear" w:color="auto" w:fill="FFFFFF"/>
              </w:rPr>
              <w:t>3353</w:t>
            </w:r>
          </w:p>
        </w:tc>
        <w:tc>
          <w:tcPr>
            <w:tcW w:w="2159" w:type="dxa"/>
          </w:tcPr>
          <w:p w:rsidR="00CD4A52" w:rsidRPr="009A5F21" w:rsidRDefault="00CD4A52" w:rsidP="00EA5901">
            <w:pPr>
              <w:spacing w:line="360" w:lineRule="auto"/>
              <w:jc w:val="both"/>
              <w:rPr>
                <w:rFonts w:ascii="Century Gothic" w:hAnsi="Century Gothic"/>
                <w:b/>
                <w:sz w:val="24"/>
                <w:szCs w:val="24"/>
                <w:shd w:val="clear" w:color="auto" w:fill="FFFFFF"/>
              </w:rPr>
            </w:pPr>
            <w:r w:rsidRPr="009A5F21">
              <w:rPr>
                <w:rFonts w:ascii="Century Gothic" w:hAnsi="Century Gothic"/>
                <w:sz w:val="24"/>
                <w:szCs w:val="24"/>
                <w:shd w:val="clear" w:color="auto" w:fill="FFFFFF"/>
              </w:rPr>
              <w:t xml:space="preserve">R$ </w:t>
            </w:r>
            <w:r w:rsidR="00177FD6" w:rsidRPr="009A5F21">
              <w:rPr>
                <w:rFonts w:ascii="Century Gothic" w:hAnsi="Century Gothic"/>
                <w:sz w:val="24"/>
                <w:szCs w:val="24"/>
                <w:shd w:val="clear" w:color="auto" w:fill="FFFFFF"/>
              </w:rPr>
              <w:t>3.310,00</w:t>
            </w:r>
          </w:p>
        </w:tc>
      </w:tr>
      <w:tr w:rsidR="00177FD6" w:rsidRPr="009A5F21" w:rsidTr="00F72EDB">
        <w:tc>
          <w:tcPr>
            <w:tcW w:w="6912" w:type="dxa"/>
          </w:tcPr>
          <w:p w:rsidR="00177FD6" w:rsidRPr="009A5F21" w:rsidRDefault="00177FD6" w:rsidP="00C701B5">
            <w:pPr>
              <w:spacing w:line="360" w:lineRule="auto"/>
              <w:rPr>
                <w:rFonts w:ascii="Century Gothic" w:hAnsi="Century Gothic"/>
                <w:sz w:val="24"/>
                <w:szCs w:val="24"/>
                <w:shd w:val="clear" w:color="auto" w:fill="FFFFFF"/>
              </w:rPr>
            </w:pPr>
            <w:r w:rsidRPr="009A5F21">
              <w:rPr>
                <w:rFonts w:ascii="Century Gothic" w:hAnsi="Century Gothic"/>
                <w:sz w:val="24"/>
                <w:szCs w:val="24"/>
                <w:shd w:val="clear" w:color="auto" w:fill="FFFFFF"/>
              </w:rPr>
              <w:t xml:space="preserve">CNPJ: </w:t>
            </w:r>
            <w:r w:rsidR="00BA498C" w:rsidRPr="009A5F21">
              <w:rPr>
                <w:rFonts w:ascii="Century Gothic" w:hAnsi="Century Gothic"/>
                <w:sz w:val="24"/>
                <w:szCs w:val="24"/>
                <w:shd w:val="clear" w:color="auto" w:fill="FFFFFF"/>
              </w:rPr>
              <w:t>01.678.711/0001-03 MONTREZOR CIA LTDA</w:t>
            </w:r>
          </w:p>
          <w:p w:rsidR="00177FD6" w:rsidRPr="009A5F21" w:rsidRDefault="00177FD6" w:rsidP="00C701B5">
            <w:pPr>
              <w:spacing w:line="360" w:lineRule="auto"/>
              <w:rPr>
                <w:rFonts w:ascii="Century Gothic" w:hAnsi="Century Gothic"/>
                <w:b/>
                <w:sz w:val="24"/>
                <w:szCs w:val="24"/>
                <w:shd w:val="clear" w:color="auto" w:fill="FFFFFF"/>
              </w:rPr>
            </w:pPr>
            <w:r w:rsidRPr="009A5F21">
              <w:rPr>
                <w:rFonts w:ascii="Century Gothic" w:hAnsi="Century Gothic"/>
                <w:b/>
                <w:sz w:val="24"/>
                <w:szCs w:val="24"/>
                <w:shd w:val="clear" w:color="auto" w:fill="FFFFFF"/>
              </w:rPr>
              <w:t xml:space="preserve">COD. DO FORNCEDOR: </w:t>
            </w:r>
            <w:r w:rsidR="00BA498C" w:rsidRPr="009A5F21">
              <w:rPr>
                <w:rFonts w:ascii="Century Gothic" w:hAnsi="Century Gothic"/>
                <w:b/>
                <w:sz w:val="24"/>
                <w:szCs w:val="24"/>
                <w:shd w:val="clear" w:color="auto" w:fill="FFFFFF"/>
              </w:rPr>
              <w:t>413</w:t>
            </w:r>
          </w:p>
        </w:tc>
        <w:tc>
          <w:tcPr>
            <w:tcW w:w="2159" w:type="dxa"/>
          </w:tcPr>
          <w:p w:rsidR="00177FD6" w:rsidRPr="009A5F21" w:rsidRDefault="00177FD6" w:rsidP="00C701B5">
            <w:pPr>
              <w:spacing w:line="360" w:lineRule="auto"/>
              <w:jc w:val="both"/>
              <w:rPr>
                <w:rFonts w:ascii="Century Gothic" w:hAnsi="Century Gothic"/>
                <w:b/>
                <w:sz w:val="24"/>
                <w:szCs w:val="24"/>
                <w:shd w:val="clear" w:color="auto" w:fill="FFFFFF"/>
              </w:rPr>
            </w:pPr>
            <w:r w:rsidRPr="009A5F21">
              <w:rPr>
                <w:rFonts w:ascii="Century Gothic" w:hAnsi="Century Gothic"/>
                <w:sz w:val="24"/>
                <w:szCs w:val="24"/>
                <w:shd w:val="clear" w:color="auto" w:fill="FFFFFF"/>
              </w:rPr>
              <w:t xml:space="preserve">R$ </w:t>
            </w:r>
            <w:r w:rsidR="00BA498C" w:rsidRPr="009A5F21">
              <w:rPr>
                <w:rFonts w:ascii="Century Gothic" w:hAnsi="Century Gothic"/>
                <w:sz w:val="24"/>
                <w:szCs w:val="24"/>
                <w:shd w:val="clear" w:color="auto" w:fill="FFFFFF"/>
              </w:rPr>
              <w:t>5.178,36</w:t>
            </w:r>
          </w:p>
        </w:tc>
      </w:tr>
      <w:tr w:rsidR="00177FD6" w:rsidRPr="009A5F21" w:rsidTr="00F72EDB">
        <w:tc>
          <w:tcPr>
            <w:tcW w:w="6912" w:type="dxa"/>
          </w:tcPr>
          <w:p w:rsidR="00177FD6" w:rsidRPr="009A5F21" w:rsidRDefault="00177FD6" w:rsidP="00C701B5">
            <w:pPr>
              <w:spacing w:line="360" w:lineRule="auto"/>
              <w:rPr>
                <w:rFonts w:ascii="Century Gothic" w:hAnsi="Century Gothic"/>
                <w:sz w:val="24"/>
                <w:szCs w:val="24"/>
                <w:shd w:val="clear" w:color="auto" w:fill="FFFFFF"/>
              </w:rPr>
            </w:pPr>
            <w:r w:rsidRPr="009A5F21">
              <w:rPr>
                <w:rFonts w:ascii="Century Gothic" w:hAnsi="Century Gothic"/>
                <w:sz w:val="24"/>
                <w:szCs w:val="24"/>
                <w:shd w:val="clear" w:color="auto" w:fill="FFFFFF"/>
              </w:rPr>
              <w:t xml:space="preserve">CNPJ: </w:t>
            </w:r>
            <w:r w:rsidR="00BA498C" w:rsidRPr="009A5F21">
              <w:rPr>
                <w:rFonts w:ascii="Century Gothic" w:hAnsi="Century Gothic"/>
                <w:sz w:val="24"/>
                <w:szCs w:val="24"/>
                <w:shd w:val="clear" w:color="auto" w:fill="FFFFFF"/>
              </w:rPr>
              <w:t xml:space="preserve">02.971.360/0001-66 DISVECO LTDA </w:t>
            </w:r>
            <w:r w:rsidR="008928C9">
              <w:rPr>
                <w:rFonts w:ascii="Century Gothic" w:hAnsi="Century Gothic"/>
                <w:sz w:val="24"/>
                <w:szCs w:val="24"/>
                <w:shd w:val="clear" w:color="auto" w:fill="FFFFFF"/>
              </w:rPr>
              <w:t>–</w:t>
            </w:r>
            <w:r w:rsidR="00BA498C" w:rsidRPr="009A5F21">
              <w:rPr>
                <w:rFonts w:ascii="Century Gothic" w:hAnsi="Century Gothic"/>
                <w:sz w:val="24"/>
                <w:szCs w:val="24"/>
                <w:shd w:val="clear" w:color="auto" w:fill="FFFFFF"/>
              </w:rPr>
              <w:t xml:space="preserve"> MATRIZ</w:t>
            </w:r>
          </w:p>
          <w:p w:rsidR="00177FD6" w:rsidRPr="009A5F21" w:rsidRDefault="00177FD6" w:rsidP="00C701B5">
            <w:pPr>
              <w:spacing w:line="360" w:lineRule="auto"/>
              <w:rPr>
                <w:rFonts w:ascii="Century Gothic" w:hAnsi="Century Gothic"/>
                <w:b/>
                <w:sz w:val="24"/>
                <w:szCs w:val="24"/>
                <w:shd w:val="clear" w:color="auto" w:fill="FFFFFF"/>
              </w:rPr>
            </w:pPr>
            <w:r w:rsidRPr="009A5F21">
              <w:rPr>
                <w:rFonts w:ascii="Century Gothic" w:hAnsi="Century Gothic"/>
                <w:b/>
                <w:sz w:val="24"/>
                <w:szCs w:val="24"/>
                <w:shd w:val="clear" w:color="auto" w:fill="FFFFFF"/>
              </w:rPr>
              <w:t xml:space="preserve">COD. DO FORNCEDOR: </w:t>
            </w:r>
            <w:r w:rsidR="00BA498C" w:rsidRPr="009A5F21">
              <w:rPr>
                <w:rFonts w:ascii="Century Gothic" w:hAnsi="Century Gothic"/>
                <w:b/>
                <w:sz w:val="24"/>
                <w:szCs w:val="24"/>
                <w:shd w:val="clear" w:color="auto" w:fill="FFFFFF"/>
              </w:rPr>
              <w:t>3726</w:t>
            </w:r>
          </w:p>
        </w:tc>
        <w:tc>
          <w:tcPr>
            <w:tcW w:w="2159" w:type="dxa"/>
          </w:tcPr>
          <w:p w:rsidR="00177FD6" w:rsidRPr="009A5F21" w:rsidRDefault="00177FD6" w:rsidP="00C701B5">
            <w:pPr>
              <w:spacing w:line="360" w:lineRule="auto"/>
              <w:jc w:val="both"/>
              <w:rPr>
                <w:rFonts w:ascii="Century Gothic" w:hAnsi="Century Gothic"/>
                <w:b/>
                <w:sz w:val="24"/>
                <w:szCs w:val="24"/>
                <w:shd w:val="clear" w:color="auto" w:fill="FFFFFF"/>
              </w:rPr>
            </w:pPr>
            <w:r w:rsidRPr="009A5F21">
              <w:rPr>
                <w:rFonts w:ascii="Century Gothic" w:hAnsi="Century Gothic"/>
                <w:sz w:val="24"/>
                <w:szCs w:val="24"/>
                <w:shd w:val="clear" w:color="auto" w:fill="FFFFFF"/>
              </w:rPr>
              <w:t xml:space="preserve">R$ </w:t>
            </w:r>
            <w:r w:rsidR="00BA498C" w:rsidRPr="009A5F21">
              <w:rPr>
                <w:rFonts w:ascii="Century Gothic" w:hAnsi="Century Gothic"/>
                <w:sz w:val="24"/>
                <w:szCs w:val="24"/>
                <w:shd w:val="clear" w:color="auto" w:fill="FFFFFF"/>
              </w:rPr>
              <w:t>3.273,35</w:t>
            </w:r>
          </w:p>
        </w:tc>
      </w:tr>
      <w:tr w:rsidR="00177FD6" w:rsidRPr="009A5F21" w:rsidTr="00F72EDB">
        <w:tc>
          <w:tcPr>
            <w:tcW w:w="6912" w:type="dxa"/>
          </w:tcPr>
          <w:p w:rsidR="00177FD6" w:rsidRPr="009A5F21" w:rsidRDefault="00177FD6" w:rsidP="00C701B5">
            <w:pPr>
              <w:spacing w:line="360" w:lineRule="auto"/>
              <w:rPr>
                <w:rFonts w:ascii="Century Gothic" w:hAnsi="Century Gothic"/>
                <w:sz w:val="24"/>
                <w:szCs w:val="24"/>
                <w:shd w:val="clear" w:color="auto" w:fill="FFFFFF"/>
              </w:rPr>
            </w:pPr>
            <w:r w:rsidRPr="009A5F21">
              <w:rPr>
                <w:rFonts w:ascii="Century Gothic" w:hAnsi="Century Gothic"/>
                <w:sz w:val="24"/>
                <w:szCs w:val="24"/>
                <w:shd w:val="clear" w:color="auto" w:fill="FFFFFF"/>
              </w:rPr>
              <w:t xml:space="preserve">CNPJ: </w:t>
            </w:r>
            <w:r w:rsidR="00BA498C" w:rsidRPr="009A5F21">
              <w:rPr>
                <w:rFonts w:ascii="Century Gothic" w:hAnsi="Century Gothic"/>
                <w:sz w:val="24"/>
                <w:szCs w:val="24"/>
                <w:shd w:val="clear" w:color="auto" w:fill="FFFFFF"/>
              </w:rPr>
              <w:t>12.753.213/0003-35 MAQUIPARTS COMERCIO, IMPORTAÇÃO E EXPORTAÇÃO LTDA</w:t>
            </w:r>
          </w:p>
          <w:p w:rsidR="00177FD6" w:rsidRPr="009A5F21" w:rsidRDefault="00177FD6" w:rsidP="00C701B5">
            <w:pPr>
              <w:spacing w:line="360" w:lineRule="auto"/>
              <w:rPr>
                <w:rFonts w:ascii="Century Gothic" w:hAnsi="Century Gothic"/>
                <w:b/>
                <w:sz w:val="24"/>
                <w:szCs w:val="24"/>
                <w:shd w:val="clear" w:color="auto" w:fill="FFFFFF"/>
              </w:rPr>
            </w:pPr>
            <w:r w:rsidRPr="009A5F21">
              <w:rPr>
                <w:rFonts w:ascii="Century Gothic" w:hAnsi="Century Gothic"/>
                <w:b/>
                <w:sz w:val="24"/>
                <w:szCs w:val="24"/>
                <w:shd w:val="clear" w:color="auto" w:fill="FFFFFF"/>
              </w:rPr>
              <w:t xml:space="preserve">COD. DO FORNCEDOR: </w:t>
            </w:r>
            <w:r w:rsidR="00BA498C" w:rsidRPr="009A5F21">
              <w:rPr>
                <w:rFonts w:ascii="Century Gothic" w:hAnsi="Century Gothic"/>
                <w:b/>
                <w:sz w:val="24"/>
                <w:szCs w:val="24"/>
                <w:shd w:val="clear" w:color="auto" w:fill="FFFFFF"/>
              </w:rPr>
              <w:t>3541</w:t>
            </w:r>
          </w:p>
        </w:tc>
        <w:tc>
          <w:tcPr>
            <w:tcW w:w="2159" w:type="dxa"/>
          </w:tcPr>
          <w:p w:rsidR="00177FD6" w:rsidRPr="009A5F21" w:rsidRDefault="00177FD6" w:rsidP="00C701B5">
            <w:pPr>
              <w:spacing w:line="360" w:lineRule="auto"/>
              <w:jc w:val="both"/>
              <w:rPr>
                <w:rFonts w:ascii="Century Gothic" w:hAnsi="Century Gothic"/>
                <w:b/>
                <w:sz w:val="24"/>
                <w:szCs w:val="24"/>
                <w:shd w:val="clear" w:color="auto" w:fill="FFFFFF"/>
              </w:rPr>
            </w:pPr>
            <w:r w:rsidRPr="009A5F21">
              <w:rPr>
                <w:rFonts w:ascii="Century Gothic" w:hAnsi="Century Gothic"/>
                <w:sz w:val="24"/>
                <w:szCs w:val="24"/>
                <w:shd w:val="clear" w:color="auto" w:fill="FFFFFF"/>
              </w:rPr>
              <w:t xml:space="preserve">R$ </w:t>
            </w:r>
            <w:r w:rsidR="00BA498C" w:rsidRPr="009A5F21">
              <w:rPr>
                <w:rFonts w:ascii="Century Gothic" w:hAnsi="Century Gothic"/>
                <w:sz w:val="24"/>
                <w:szCs w:val="24"/>
                <w:shd w:val="clear" w:color="auto" w:fill="FFFFFF"/>
              </w:rPr>
              <w:t>597,25</w:t>
            </w:r>
          </w:p>
        </w:tc>
      </w:tr>
      <w:tr w:rsidR="00BA498C" w:rsidRPr="009A5F21" w:rsidTr="00F72EDB">
        <w:tc>
          <w:tcPr>
            <w:tcW w:w="6912" w:type="dxa"/>
          </w:tcPr>
          <w:p w:rsidR="00BA498C" w:rsidRPr="009A5F21" w:rsidRDefault="00BA498C" w:rsidP="00C701B5">
            <w:pPr>
              <w:spacing w:line="360" w:lineRule="auto"/>
              <w:rPr>
                <w:rFonts w:ascii="Century Gothic" w:hAnsi="Century Gothic"/>
                <w:sz w:val="24"/>
                <w:szCs w:val="24"/>
                <w:shd w:val="clear" w:color="auto" w:fill="FFFFFF"/>
              </w:rPr>
            </w:pPr>
            <w:r w:rsidRPr="009A5F21">
              <w:rPr>
                <w:rFonts w:ascii="Century Gothic" w:hAnsi="Century Gothic"/>
                <w:sz w:val="24"/>
                <w:szCs w:val="24"/>
                <w:shd w:val="clear" w:color="auto" w:fill="FFFFFF"/>
              </w:rPr>
              <w:t xml:space="preserve">CNPJ: </w:t>
            </w:r>
            <w:r w:rsidR="004A1705" w:rsidRPr="009A5F21">
              <w:rPr>
                <w:rFonts w:ascii="Century Gothic" w:hAnsi="Century Gothic"/>
                <w:sz w:val="24"/>
                <w:szCs w:val="24"/>
                <w:shd w:val="clear" w:color="auto" w:fill="FFFFFF"/>
              </w:rPr>
              <w:t>17.592.063/0001-87 FENIX COMERCIO DE PNEUS LTDA-EPP</w:t>
            </w:r>
          </w:p>
          <w:p w:rsidR="00BA498C" w:rsidRPr="009A5F21" w:rsidRDefault="00BA498C" w:rsidP="00C701B5">
            <w:pPr>
              <w:spacing w:line="360" w:lineRule="auto"/>
              <w:rPr>
                <w:rFonts w:ascii="Century Gothic" w:hAnsi="Century Gothic"/>
                <w:b/>
                <w:sz w:val="24"/>
                <w:szCs w:val="24"/>
                <w:shd w:val="clear" w:color="auto" w:fill="FFFFFF"/>
              </w:rPr>
            </w:pPr>
            <w:r w:rsidRPr="009A5F21">
              <w:rPr>
                <w:rFonts w:ascii="Century Gothic" w:hAnsi="Century Gothic"/>
                <w:b/>
                <w:sz w:val="24"/>
                <w:szCs w:val="24"/>
                <w:shd w:val="clear" w:color="auto" w:fill="FFFFFF"/>
              </w:rPr>
              <w:t xml:space="preserve">COD. DO FORNCEDOR: </w:t>
            </w:r>
            <w:r w:rsidR="004A1705" w:rsidRPr="009A5F21">
              <w:rPr>
                <w:rFonts w:ascii="Century Gothic" w:hAnsi="Century Gothic"/>
                <w:b/>
                <w:sz w:val="24"/>
                <w:szCs w:val="24"/>
                <w:shd w:val="clear" w:color="auto" w:fill="FFFFFF"/>
              </w:rPr>
              <w:t>2627</w:t>
            </w:r>
          </w:p>
        </w:tc>
        <w:tc>
          <w:tcPr>
            <w:tcW w:w="2159" w:type="dxa"/>
          </w:tcPr>
          <w:p w:rsidR="00BA498C" w:rsidRPr="009A5F21" w:rsidRDefault="00BA498C" w:rsidP="00C701B5">
            <w:pPr>
              <w:spacing w:line="360" w:lineRule="auto"/>
              <w:jc w:val="both"/>
              <w:rPr>
                <w:rFonts w:ascii="Century Gothic" w:hAnsi="Century Gothic"/>
                <w:b/>
                <w:sz w:val="24"/>
                <w:szCs w:val="24"/>
                <w:shd w:val="clear" w:color="auto" w:fill="FFFFFF"/>
              </w:rPr>
            </w:pPr>
            <w:r w:rsidRPr="009A5F21">
              <w:rPr>
                <w:rFonts w:ascii="Century Gothic" w:hAnsi="Century Gothic"/>
                <w:sz w:val="24"/>
                <w:szCs w:val="24"/>
                <w:shd w:val="clear" w:color="auto" w:fill="FFFFFF"/>
              </w:rPr>
              <w:t xml:space="preserve">R$ </w:t>
            </w:r>
            <w:r w:rsidR="004A1705" w:rsidRPr="009A5F21">
              <w:rPr>
                <w:rFonts w:ascii="Century Gothic" w:hAnsi="Century Gothic"/>
                <w:sz w:val="24"/>
                <w:szCs w:val="24"/>
                <w:shd w:val="clear" w:color="auto" w:fill="FFFFFF"/>
              </w:rPr>
              <w:t>3.375,00</w:t>
            </w:r>
          </w:p>
        </w:tc>
      </w:tr>
      <w:tr w:rsidR="00BA498C" w:rsidRPr="009A5F21" w:rsidTr="00F72EDB">
        <w:tc>
          <w:tcPr>
            <w:tcW w:w="6912" w:type="dxa"/>
          </w:tcPr>
          <w:p w:rsidR="00BA498C" w:rsidRPr="009A5F21" w:rsidRDefault="004A1705" w:rsidP="004A1705">
            <w:pPr>
              <w:spacing w:line="360" w:lineRule="auto"/>
              <w:jc w:val="center"/>
              <w:rPr>
                <w:rFonts w:ascii="Century Gothic" w:hAnsi="Century Gothic"/>
                <w:b/>
                <w:sz w:val="24"/>
                <w:szCs w:val="24"/>
                <w:shd w:val="clear" w:color="auto" w:fill="FFFFFF"/>
              </w:rPr>
            </w:pPr>
            <w:r w:rsidRPr="009A5F21">
              <w:rPr>
                <w:rFonts w:ascii="Century Gothic" w:hAnsi="Century Gothic"/>
                <w:b/>
                <w:sz w:val="24"/>
                <w:szCs w:val="24"/>
                <w:shd w:val="clear" w:color="auto" w:fill="FFFFFF"/>
              </w:rPr>
              <w:t>TOTAL =</w:t>
            </w:r>
          </w:p>
        </w:tc>
        <w:tc>
          <w:tcPr>
            <w:tcW w:w="2159" w:type="dxa"/>
          </w:tcPr>
          <w:p w:rsidR="00BA498C" w:rsidRPr="009A5F21" w:rsidRDefault="00BA498C" w:rsidP="00C701B5">
            <w:pPr>
              <w:spacing w:line="360" w:lineRule="auto"/>
              <w:jc w:val="both"/>
              <w:rPr>
                <w:rFonts w:ascii="Century Gothic" w:hAnsi="Century Gothic"/>
                <w:b/>
                <w:sz w:val="24"/>
                <w:szCs w:val="24"/>
                <w:shd w:val="clear" w:color="auto" w:fill="FFFFFF"/>
              </w:rPr>
            </w:pPr>
            <w:r w:rsidRPr="009A5F21">
              <w:rPr>
                <w:rFonts w:ascii="Century Gothic" w:hAnsi="Century Gothic"/>
                <w:b/>
                <w:sz w:val="24"/>
                <w:szCs w:val="24"/>
                <w:shd w:val="clear" w:color="auto" w:fill="FFFFFF"/>
              </w:rPr>
              <w:t xml:space="preserve">R$ </w:t>
            </w:r>
            <w:r w:rsidR="004A1705" w:rsidRPr="009A5F21">
              <w:rPr>
                <w:rFonts w:ascii="Century Gothic" w:hAnsi="Century Gothic"/>
                <w:b/>
                <w:sz w:val="24"/>
                <w:szCs w:val="24"/>
                <w:shd w:val="clear" w:color="auto" w:fill="FFFFFF"/>
              </w:rPr>
              <w:t>40.488,20</w:t>
            </w:r>
          </w:p>
        </w:tc>
      </w:tr>
    </w:tbl>
    <w:p w:rsidR="00123E08" w:rsidRPr="009A5F21" w:rsidRDefault="00123E08" w:rsidP="00E53E17">
      <w:pPr>
        <w:spacing w:line="360" w:lineRule="auto"/>
        <w:ind w:firstLine="709"/>
        <w:jc w:val="both"/>
        <w:rPr>
          <w:rFonts w:ascii="Century Gothic" w:hAnsi="Century Gothic"/>
          <w:color w:val="333333"/>
          <w:shd w:val="clear" w:color="auto" w:fill="FFFFFF"/>
        </w:rPr>
      </w:pPr>
    </w:p>
    <w:tbl>
      <w:tblPr>
        <w:tblStyle w:val="Tabelacomgrade"/>
        <w:tblW w:w="0" w:type="auto"/>
        <w:tblLook w:val="04A0"/>
      </w:tblPr>
      <w:tblGrid>
        <w:gridCol w:w="6912"/>
        <w:gridCol w:w="2159"/>
      </w:tblGrid>
      <w:tr w:rsidR="000935A7" w:rsidRPr="009A5F21" w:rsidTr="00C701B5">
        <w:tc>
          <w:tcPr>
            <w:tcW w:w="9071" w:type="dxa"/>
            <w:gridSpan w:val="2"/>
          </w:tcPr>
          <w:p w:rsidR="000935A7" w:rsidRPr="009A5F21" w:rsidRDefault="000935A7" w:rsidP="00C701B5">
            <w:pPr>
              <w:spacing w:line="360" w:lineRule="auto"/>
              <w:jc w:val="center"/>
              <w:rPr>
                <w:rFonts w:ascii="Century Gothic" w:hAnsi="Century Gothic"/>
                <w:b/>
                <w:sz w:val="24"/>
                <w:szCs w:val="24"/>
                <w:shd w:val="clear" w:color="auto" w:fill="FFFFFF"/>
              </w:rPr>
            </w:pPr>
            <w:r w:rsidRPr="009A5F21">
              <w:rPr>
                <w:rFonts w:ascii="Century Gothic" w:hAnsi="Century Gothic"/>
                <w:b/>
                <w:sz w:val="24"/>
                <w:szCs w:val="24"/>
                <w:shd w:val="clear" w:color="auto" w:fill="FFFFFF"/>
              </w:rPr>
              <w:t>SERVIÇOS MÉDICOS HOSPITALARES</w:t>
            </w:r>
          </w:p>
        </w:tc>
      </w:tr>
      <w:tr w:rsidR="000935A7" w:rsidRPr="009A5F21" w:rsidTr="00C701B5">
        <w:tc>
          <w:tcPr>
            <w:tcW w:w="9071" w:type="dxa"/>
            <w:gridSpan w:val="2"/>
          </w:tcPr>
          <w:p w:rsidR="000935A7" w:rsidRPr="009A5F21" w:rsidRDefault="000935A7" w:rsidP="00C701B5">
            <w:pPr>
              <w:spacing w:line="360" w:lineRule="auto"/>
              <w:jc w:val="both"/>
              <w:rPr>
                <w:rFonts w:ascii="Century Gothic" w:hAnsi="Century Gothic"/>
                <w:b/>
                <w:sz w:val="24"/>
                <w:szCs w:val="24"/>
                <w:shd w:val="clear" w:color="auto" w:fill="FFFFFF"/>
              </w:rPr>
            </w:pPr>
            <w:r w:rsidRPr="009A5F21">
              <w:rPr>
                <w:rFonts w:ascii="Century Gothic" w:hAnsi="Century Gothic"/>
                <w:b/>
                <w:sz w:val="24"/>
                <w:szCs w:val="24"/>
                <w:shd w:val="clear" w:color="auto" w:fill="FFFFFF"/>
              </w:rPr>
              <w:t>MODO DE CONTRATAÇÃO: “Compra dispensada” – Lei Nº 8666/93, Art. 24, II (atualizado pela Lei Municipal Nº 1.068/2017)</w:t>
            </w:r>
          </w:p>
        </w:tc>
      </w:tr>
      <w:tr w:rsidR="000935A7" w:rsidRPr="009A5F21" w:rsidTr="00C701B5">
        <w:tc>
          <w:tcPr>
            <w:tcW w:w="6912" w:type="dxa"/>
          </w:tcPr>
          <w:p w:rsidR="000935A7" w:rsidRPr="009A5F21" w:rsidRDefault="000935A7" w:rsidP="00C701B5">
            <w:pPr>
              <w:spacing w:line="360" w:lineRule="auto"/>
              <w:jc w:val="center"/>
              <w:rPr>
                <w:rFonts w:ascii="Century Gothic" w:hAnsi="Century Gothic"/>
                <w:b/>
                <w:sz w:val="24"/>
                <w:szCs w:val="24"/>
                <w:shd w:val="clear" w:color="auto" w:fill="FFFFFF"/>
              </w:rPr>
            </w:pPr>
            <w:r w:rsidRPr="009A5F21">
              <w:rPr>
                <w:rFonts w:ascii="Century Gothic" w:hAnsi="Century Gothic"/>
                <w:b/>
                <w:sz w:val="24"/>
                <w:szCs w:val="24"/>
                <w:shd w:val="clear" w:color="auto" w:fill="FFFFFF"/>
              </w:rPr>
              <w:t>CREDOR</w:t>
            </w:r>
          </w:p>
        </w:tc>
        <w:tc>
          <w:tcPr>
            <w:tcW w:w="2159" w:type="dxa"/>
          </w:tcPr>
          <w:p w:rsidR="000935A7" w:rsidRPr="009A5F21" w:rsidRDefault="000935A7" w:rsidP="00C701B5">
            <w:pPr>
              <w:spacing w:line="360" w:lineRule="auto"/>
              <w:jc w:val="center"/>
              <w:rPr>
                <w:rFonts w:ascii="Century Gothic" w:hAnsi="Century Gothic"/>
                <w:b/>
                <w:sz w:val="24"/>
                <w:szCs w:val="24"/>
                <w:shd w:val="clear" w:color="auto" w:fill="FFFFFF"/>
              </w:rPr>
            </w:pPr>
            <w:r w:rsidRPr="009A5F21">
              <w:rPr>
                <w:rFonts w:ascii="Century Gothic" w:hAnsi="Century Gothic"/>
                <w:b/>
                <w:sz w:val="24"/>
                <w:szCs w:val="24"/>
                <w:shd w:val="clear" w:color="auto" w:fill="FFFFFF"/>
              </w:rPr>
              <w:t>LIQUIDADO</w:t>
            </w:r>
          </w:p>
        </w:tc>
      </w:tr>
      <w:tr w:rsidR="000935A7" w:rsidRPr="009A5F21" w:rsidTr="00C701B5">
        <w:tc>
          <w:tcPr>
            <w:tcW w:w="6912" w:type="dxa"/>
          </w:tcPr>
          <w:p w:rsidR="000935A7" w:rsidRPr="009A5F21" w:rsidRDefault="000935A7" w:rsidP="00C701B5">
            <w:pPr>
              <w:spacing w:line="360" w:lineRule="auto"/>
              <w:jc w:val="both"/>
              <w:rPr>
                <w:rFonts w:ascii="Century Gothic" w:hAnsi="Century Gothic"/>
                <w:sz w:val="24"/>
                <w:szCs w:val="24"/>
                <w:shd w:val="clear" w:color="auto" w:fill="FFFFFF"/>
              </w:rPr>
            </w:pPr>
            <w:r w:rsidRPr="009A5F21">
              <w:rPr>
                <w:rFonts w:ascii="Century Gothic" w:hAnsi="Century Gothic"/>
                <w:sz w:val="24"/>
                <w:szCs w:val="24"/>
                <w:shd w:val="clear" w:color="auto" w:fill="FFFFFF"/>
              </w:rPr>
              <w:t xml:space="preserve">CNPJ: </w:t>
            </w:r>
            <w:r w:rsidR="00FA7527" w:rsidRPr="009A5F21">
              <w:rPr>
                <w:rFonts w:ascii="Century Gothic" w:hAnsi="Century Gothic"/>
                <w:sz w:val="24"/>
                <w:szCs w:val="24"/>
                <w:shd w:val="clear" w:color="auto" w:fill="FFFFFF"/>
              </w:rPr>
              <w:t>15.364.293/0001-63 GILSIMAR PERES DE SOUZA - ME</w:t>
            </w:r>
          </w:p>
          <w:p w:rsidR="000935A7" w:rsidRPr="009A5F21" w:rsidRDefault="000935A7" w:rsidP="00C701B5">
            <w:pPr>
              <w:spacing w:line="360" w:lineRule="auto"/>
              <w:jc w:val="both"/>
              <w:rPr>
                <w:rFonts w:ascii="Century Gothic" w:hAnsi="Century Gothic"/>
                <w:b/>
                <w:sz w:val="24"/>
                <w:szCs w:val="24"/>
                <w:shd w:val="clear" w:color="auto" w:fill="FFFFFF"/>
              </w:rPr>
            </w:pPr>
            <w:r w:rsidRPr="009A5F21">
              <w:rPr>
                <w:rFonts w:ascii="Century Gothic" w:hAnsi="Century Gothic"/>
                <w:b/>
                <w:sz w:val="24"/>
                <w:szCs w:val="24"/>
                <w:shd w:val="clear" w:color="auto" w:fill="FFFFFF"/>
              </w:rPr>
              <w:t xml:space="preserve">COD. DO FORNECEDOR: </w:t>
            </w:r>
            <w:r w:rsidR="00FA7527" w:rsidRPr="009A5F21">
              <w:rPr>
                <w:rFonts w:ascii="Century Gothic" w:hAnsi="Century Gothic"/>
                <w:b/>
                <w:sz w:val="24"/>
                <w:szCs w:val="24"/>
                <w:shd w:val="clear" w:color="auto" w:fill="FFFFFF"/>
              </w:rPr>
              <w:t>3307</w:t>
            </w:r>
          </w:p>
        </w:tc>
        <w:tc>
          <w:tcPr>
            <w:tcW w:w="2159" w:type="dxa"/>
          </w:tcPr>
          <w:p w:rsidR="000935A7" w:rsidRPr="009A5F21" w:rsidRDefault="000935A7" w:rsidP="00C701B5">
            <w:pPr>
              <w:spacing w:line="360" w:lineRule="auto"/>
              <w:rPr>
                <w:rFonts w:ascii="Century Gothic" w:hAnsi="Century Gothic"/>
                <w:sz w:val="24"/>
                <w:szCs w:val="24"/>
                <w:shd w:val="clear" w:color="auto" w:fill="FFFFFF"/>
              </w:rPr>
            </w:pPr>
            <w:r w:rsidRPr="009A5F21">
              <w:rPr>
                <w:rFonts w:ascii="Century Gothic" w:hAnsi="Century Gothic"/>
                <w:sz w:val="24"/>
                <w:szCs w:val="24"/>
                <w:shd w:val="clear" w:color="auto" w:fill="FFFFFF"/>
              </w:rPr>
              <w:t xml:space="preserve">R$ </w:t>
            </w:r>
            <w:r w:rsidR="00FA7527" w:rsidRPr="009A5F21">
              <w:rPr>
                <w:rFonts w:ascii="Century Gothic" w:hAnsi="Century Gothic"/>
                <w:sz w:val="24"/>
                <w:szCs w:val="24"/>
                <w:shd w:val="clear" w:color="auto" w:fill="FFFFFF"/>
              </w:rPr>
              <w:t>82.100,00</w:t>
            </w:r>
          </w:p>
        </w:tc>
      </w:tr>
      <w:tr w:rsidR="000935A7" w:rsidRPr="009A5F21" w:rsidTr="00C701B5">
        <w:tc>
          <w:tcPr>
            <w:tcW w:w="6912" w:type="dxa"/>
          </w:tcPr>
          <w:p w:rsidR="000935A7" w:rsidRPr="009A5F21" w:rsidRDefault="000935A7" w:rsidP="00C701B5">
            <w:pPr>
              <w:spacing w:line="360" w:lineRule="auto"/>
              <w:jc w:val="both"/>
              <w:rPr>
                <w:rFonts w:ascii="Century Gothic" w:hAnsi="Century Gothic"/>
                <w:sz w:val="24"/>
                <w:szCs w:val="24"/>
                <w:shd w:val="clear" w:color="auto" w:fill="FFFFFF"/>
              </w:rPr>
            </w:pPr>
            <w:r w:rsidRPr="009A5F21">
              <w:rPr>
                <w:rFonts w:ascii="Century Gothic" w:hAnsi="Century Gothic"/>
                <w:sz w:val="24"/>
                <w:szCs w:val="24"/>
                <w:shd w:val="clear" w:color="auto" w:fill="FFFFFF"/>
              </w:rPr>
              <w:t xml:space="preserve">CNPJ: </w:t>
            </w:r>
            <w:r w:rsidR="00FA7527" w:rsidRPr="009A5F21">
              <w:rPr>
                <w:rFonts w:ascii="Century Gothic" w:hAnsi="Century Gothic"/>
                <w:sz w:val="24"/>
                <w:szCs w:val="24"/>
                <w:shd w:val="clear" w:color="auto" w:fill="FFFFFF"/>
              </w:rPr>
              <w:t>28.445.570/0001-04 VANESSA CRISTINA SANTINI SANTANA EIRELI - ME</w:t>
            </w:r>
          </w:p>
          <w:p w:rsidR="000935A7" w:rsidRPr="009A5F21" w:rsidRDefault="000935A7" w:rsidP="00C701B5">
            <w:pPr>
              <w:spacing w:line="360" w:lineRule="auto"/>
              <w:jc w:val="both"/>
              <w:rPr>
                <w:rFonts w:ascii="Century Gothic" w:hAnsi="Century Gothic"/>
                <w:b/>
                <w:sz w:val="24"/>
                <w:szCs w:val="24"/>
                <w:shd w:val="clear" w:color="auto" w:fill="FFFFFF"/>
              </w:rPr>
            </w:pPr>
            <w:r w:rsidRPr="009A5F21">
              <w:rPr>
                <w:rFonts w:ascii="Century Gothic" w:hAnsi="Century Gothic"/>
                <w:b/>
                <w:sz w:val="24"/>
                <w:szCs w:val="24"/>
                <w:shd w:val="clear" w:color="auto" w:fill="FFFFFF"/>
              </w:rPr>
              <w:t xml:space="preserve">COD. DO FORNCEDOR: </w:t>
            </w:r>
            <w:r w:rsidR="00FA7527" w:rsidRPr="009A5F21">
              <w:rPr>
                <w:rFonts w:ascii="Century Gothic" w:hAnsi="Century Gothic"/>
                <w:b/>
                <w:sz w:val="24"/>
                <w:szCs w:val="24"/>
                <w:shd w:val="clear" w:color="auto" w:fill="FFFFFF"/>
              </w:rPr>
              <w:t>4115</w:t>
            </w:r>
          </w:p>
        </w:tc>
        <w:tc>
          <w:tcPr>
            <w:tcW w:w="2159" w:type="dxa"/>
          </w:tcPr>
          <w:p w:rsidR="000935A7" w:rsidRPr="009A5F21" w:rsidRDefault="000935A7" w:rsidP="00C701B5">
            <w:pPr>
              <w:spacing w:line="360" w:lineRule="auto"/>
              <w:jc w:val="both"/>
              <w:rPr>
                <w:rFonts w:ascii="Century Gothic" w:hAnsi="Century Gothic"/>
                <w:sz w:val="24"/>
                <w:szCs w:val="24"/>
                <w:shd w:val="clear" w:color="auto" w:fill="FFFFFF"/>
              </w:rPr>
            </w:pPr>
            <w:r w:rsidRPr="009A5F21">
              <w:rPr>
                <w:rFonts w:ascii="Century Gothic" w:hAnsi="Century Gothic"/>
                <w:sz w:val="24"/>
                <w:szCs w:val="24"/>
                <w:shd w:val="clear" w:color="auto" w:fill="FFFFFF"/>
              </w:rPr>
              <w:t xml:space="preserve">R$ </w:t>
            </w:r>
            <w:r w:rsidR="00FA7527" w:rsidRPr="009A5F21">
              <w:rPr>
                <w:rFonts w:ascii="Century Gothic" w:hAnsi="Century Gothic"/>
                <w:sz w:val="24"/>
                <w:szCs w:val="24"/>
                <w:shd w:val="clear" w:color="auto" w:fill="FFFFFF"/>
              </w:rPr>
              <w:t>68.200,00</w:t>
            </w:r>
          </w:p>
        </w:tc>
      </w:tr>
      <w:tr w:rsidR="000935A7" w:rsidRPr="009A5F21" w:rsidTr="00C701B5">
        <w:tc>
          <w:tcPr>
            <w:tcW w:w="6912" w:type="dxa"/>
          </w:tcPr>
          <w:p w:rsidR="000935A7" w:rsidRPr="009A5F21" w:rsidRDefault="000935A7" w:rsidP="00C701B5">
            <w:pPr>
              <w:spacing w:line="360" w:lineRule="auto"/>
              <w:rPr>
                <w:rFonts w:ascii="Century Gothic" w:hAnsi="Century Gothic"/>
                <w:sz w:val="24"/>
                <w:szCs w:val="24"/>
                <w:shd w:val="clear" w:color="auto" w:fill="FFFFFF"/>
              </w:rPr>
            </w:pPr>
            <w:r w:rsidRPr="009A5F21">
              <w:rPr>
                <w:rFonts w:ascii="Century Gothic" w:hAnsi="Century Gothic"/>
                <w:sz w:val="24"/>
                <w:szCs w:val="24"/>
                <w:shd w:val="clear" w:color="auto" w:fill="FFFFFF"/>
              </w:rPr>
              <w:t xml:space="preserve">CNPJ: </w:t>
            </w:r>
            <w:r w:rsidR="00FA7527" w:rsidRPr="009A5F21">
              <w:rPr>
                <w:rFonts w:ascii="Century Gothic" w:hAnsi="Century Gothic"/>
                <w:sz w:val="24"/>
                <w:szCs w:val="24"/>
                <w:shd w:val="clear" w:color="auto" w:fill="FFFFFF"/>
              </w:rPr>
              <w:t>28.675.978/0001-72 RAIANNY KARLA SANTOS OLIVEIRA</w:t>
            </w:r>
          </w:p>
          <w:p w:rsidR="000935A7" w:rsidRPr="009A5F21" w:rsidRDefault="000935A7" w:rsidP="00C701B5">
            <w:pPr>
              <w:spacing w:line="360" w:lineRule="auto"/>
              <w:rPr>
                <w:rFonts w:ascii="Century Gothic" w:hAnsi="Century Gothic"/>
                <w:b/>
                <w:sz w:val="24"/>
                <w:szCs w:val="24"/>
                <w:shd w:val="clear" w:color="auto" w:fill="FFFFFF"/>
              </w:rPr>
            </w:pPr>
            <w:r w:rsidRPr="009A5F21">
              <w:rPr>
                <w:rFonts w:ascii="Century Gothic" w:hAnsi="Century Gothic"/>
                <w:b/>
                <w:sz w:val="24"/>
                <w:szCs w:val="24"/>
                <w:shd w:val="clear" w:color="auto" w:fill="FFFFFF"/>
              </w:rPr>
              <w:t xml:space="preserve">COD. DO FORNCEDOR: </w:t>
            </w:r>
            <w:r w:rsidR="00FA7527" w:rsidRPr="009A5F21">
              <w:rPr>
                <w:rFonts w:ascii="Century Gothic" w:hAnsi="Century Gothic"/>
                <w:b/>
                <w:sz w:val="24"/>
                <w:szCs w:val="24"/>
                <w:shd w:val="clear" w:color="auto" w:fill="FFFFFF"/>
              </w:rPr>
              <w:t>4748</w:t>
            </w:r>
          </w:p>
        </w:tc>
        <w:tc>
          <w:tcPr>
            <w:tcW w:w="2159" w:type="dxa"/>
          </w:tcPr>
          <w:p w:rsidR="000935A7" w:rsidRPr="009A5F21" w:rsidRDefault="000935A7" w:rsidP="00C701B5">
            <w:pPr>
              <w:spacing w:line="360" w:lineRule="auto"/>
              <w:jc w:val="both"/>
              <w:rPr>
                <w:rFonts w:ascii="Century Gothic" w:hAnsi="Century Gothic"/>
                <w:b/>
                <w:sz w:val="24"/>
                <w:szCs w:val="24"/>
                <w:shd w:val="clear" w:color="auto" w:fill="FFFFFF"/>
              </w:rPr>
            </w:pPr>
            <w:r w:rsidRPr="009A5F21">
              <w:rPr>
                <w:rFonts w:ascii="Century Gothic" w:hAnsi="Century Gothic"/>
                <w:sz w:val="24"/>
                <w:szCs w:val="24"/>
                <w:shd w:val="clear" w:color="auto" w:fill="FFFFFF"/>
              </w:rPr>
              <w:t xml:space="preserve">R$ </w:t>
            </w:r>
            <w:r w:rsidR="00FA7527" w:rsidRPr="009A5F21">
              <w:rPr>
                <w:rFonts w:ascii="Century Gothic" w:hAnsi="Century Gothic"/>
                <w:sz w:val="24"/>
                <w:szCs w:val="24"/>
                <w:shd w:val="clear" w:color="auto" w:fill="FFFFFF"/>
              </w:rPr>
              <w:t>91.800,00</w:t>
            </w:r>
          </w:p>
        </w:tc>
      </w:tr>
      <w:tr w:rsidR="000935A7" w:rsidRPr="009A5F21" w:rsidTr="00C701B5">
        <w:tc>
          <w:tcPr>
            <w:tcW w:w="6912" w:type="dxa"/>
          </w:tcPr>
          <w:p w:rsidR="000935A7" w:rsidRPr="009A5F21" w:rsidRDefault="000935A7" w:rsidP="00C701B5">
            <w:pPr>
              <w:spacing w:line="360" w:lineRule="auto"/>
              <w:jc w:val="center"/>
              <w:rPr>
                <w:rFonts w:ascii="Century Gothic" w:hAnsi="Century Gothic"/>
                <w:b/>
                <w:sz w:val="24"/>
                <w:szCs w:val="24"/>
                <w:shd w:val="clear" w:color="auto" w:fill="FFFFFF"/>
              </w:rPr>
            </w:pPr>
            <w:r w:rsidRPr="009A5F21">
              <w:rPr>
                <w:rFonts w:ascii="Century Gothic" w:hAnsi="Century Gothic"/>
                <w:b/>
                <w:sz w:val="24"/>
                <w:szCs w:val="24"/>
                <w:shd w:val="clear" w:color="auto" w:fill="FFFFFF"/>
              </w:rPr>
              <w:t>TOTAL=</w:t>
            </w:r>
          </w:p>
        </w:tc>
        <w:tc>
          <w:tcPr>
            <w:tcW w:w="2159" w:type="dxa"/>
          </w:tcPr>
          <w:p w:rsidR="000935A7" w:rsidRPr="009A5F21" w:rsidRDefault="000935A7" w:rsidP="00C701B5">
            <w:pPr>
              <w:spacing w:line="360" w:lineRule="auto"/>
              <w:jc w:val="both"/>
              <w:rPr>
                <w:rFonts w:ascii="Century Gothic" w:hAnsi="Century Gothic"/>
                <w:b/>
                <w:sz w:val="24"/>
                <w:szCs w:val="24"/>
                <w:shd w:val="clear" w:color="auto" w:fill="FFFFFF"/>
              </w:rPr>
            </w:pPr>
            <w:r w:rsidRPr="009A5F21">
              <w:rPr>
                <w:rFonts w:ascii="Century Gothic" w:hAnsi="Century Gothic"/>
                <w:b/>
                <w:sz w:val="24"/>
                <w:szCs w:val="24"/>
                <w:shd w:val="clear" w:color="auto" w:fill="FFFFFF"/>
              </w:rPr>
              <w:t xml:space="preserve">R$ </w:t>
            </w:r>
            <w:r w:rsidR="008A35AA" w:rsidRPr="009A5F21">
              <w:rPr>
                <w:rFonts w:ascii="Century Gothic" w:hAnsi="Century Gothic"/>
                <w:b/>
                <w:sz w:val="24"/>
                <w:szCs w:val="24"/>
                <w:shd w:val="clear" w:color="auto" w:fill="FFFFFF"/>
              </w:rPr>
              <w:t>242.100,00</w:t>
            </w:r>
          </w:p>
        </w:tc>
      </w:tr>
    </w:tbl>
    <w:p w:rsidR="000935A7" w:rsidRPr="009A5F21" w:rsidRDefault="000935A7" w:rsidP="000935A7">
      <w:pPr>
        <w:spacing w:line="360" w:lineRule="auto"/>
        <w:jc w:val="both"/>
        <w:rPr>
          <w:rFonts w:ascii="Century Gothic" w:hAnsi="Century Gothic"/>
        </w:rPr>
      </w:pPr>
    </w:p>
    <w:p w:rsidR="00E53E17" w:rsidRPr="009A5F21" w:rsidRDefault="00E53E17" w:rsidP="00E53E17">
      <w:pPr>
        <w:spacing w:line="360" w:lineRule="auto"/>
        <w:ind w:left="1701"/>
        <w:jc w:val="both"/>
        <w:rPr>
          <w:rFonts w:ascii="Century Gothic" w:hAnsi="Century Gothic"/>
          <w:i/>
        </w:rPr>
      </w:pPr>
      <w:r w:rsidRPr="009A5F21">
        <w:rPr>
          <w:rFonts w:ascii="Century Gothic" w:hAnsi="Century Gothic"/>
          <w:i/>
        </w:rPr>
        <w:tab/>
      </w:r>
    </w:p>
    <w:p w:rsidR="00E53E17" w:rsidRPr="00CD6BAE" w:rsidRDefault="009A5F21" w:rsidP="00CD6BAE">
      <w:pPr>
        <w:pStyle w:val="PargrafodaLista"/>
        <w:numPr>
          <w:ilvl w:val="0"/>
          <w:numId w:val="3"/>
        </w:numPr>
        <w:spacing w:line="360" w:lineRule="auto"/>
        <w:jc w:val="both"/>
        <w:rPr>
          <w:rFonts w:ascii="Century Gothic" w:hAnsi="Century Gothic"/>
          <w:b/>
        </w:rPr>
      </w:pPr>
      <w:r w:rsidRPr="00CD6BAE">
        <w:rPr>
          <w:rFonts w:ascii="Century Gothic" w:hAnsi="Century Gothic"/>
          <w:b/>
        </w:rPr>
        <w:t>DAS RECOMENDAÇÕES</w:t>
      </w:r>
    </w:p>
    <w:p w:rsidR="00E53E17" w:rsidRPr="009A5F21" w:rsidRDefault="00E53E17" w:rsidP="009A5F21">
      <w:pPr>
        <w:spacing w:line="360" w:lineRule="auto"/>
        <w:jc w:val="both"/>
        <w:rPr>
          <w:rFonts w:ascii="Century Gothic" w:hAnsi="Century Gothic"/>
          <w:b/>
        </w:rPr>
      </w:pPr>
      <w:r w:rsidRPr="009A5F21">
        <w:rPr>
          <w:rFonts w:ascii="Century Gothic" w:hAnsi="Century Gothic"/>
          <w:b/>
        </w:rPr>
        <w:tab/>
      </w:r>
    </w:p>
    <w:p w:rsidR="009A5F21" w:rsidRDefault="009A5F21" w:rsidP="009A5F21">
      <w:pPr>
        <w:spacing w:line="360" w:lineRule="auto"/>
        <w:jc w:val="both"/>
        <w:rPr>
          <w:rFonts w:ascii="Century Gothic" w:hAnsi="Century Gothic" w:cs="Arial"/>
          <w:b/>
        </w:rPr>
      </w:pPr>
      <w:r w:rsidRPr="009A5F21">
        <w:rPr>
          <w:rFonts w:ascii="Century Gothic" w:hAnsi="Century Gothic" w:cs="Arial"/>
          <w:b/>
        </w:rPr>
        <w:t>I –</w:t>
      </w:r>
      <w:r w:rsidRPr="009A5F21">
        <w:rPr>
          <w:rFonts w:ascii="Century Gothic" w:hAnsi="Century Gothic" w:cs="Arial"/>
        </w:rPr>
        <w:t xml:space="preserve"> </w:t>
      </w:r>
      <w:r w:rsidRPr="009A5F21">
        <w:rPr>
          <w:rFonts w:ascii="Century Gothic" w:hAnsi="Century Gothic" w:cs="Arial"/>
          <w:b/>
        </w:rPr>
        <w:t xml:space="preserve">Adotem medidas destinadas a implementar um adequado planejamento no concerne as aquisições públicas, </w:t>
      </w:r>
      <w:r w:rsidRPr="009A5F21">
        <w:rPr>
          <w:rFonts w:ascii="Century Gothic" w:hAnsi="Century Gothic" w:cs="Arial"/>
        </w:rPr>
        <w:t>no intuito de melho</w:t>
      </w:r>
      <w:r w:rsidR="008928C9">
        <w:rPr>
          <w:rFonts w:ascii="Century Gothic" w:hAnsi="Century Gothic" w:cs="Arial"/>
        </w:rPr>
        <w:t>rar a eficiência administrativa</w:t>
      </w:r>
      <w:r w:rsidRPr="009A5F21">
        <w:rPr>
          <w:rFonts w:ascii="Century Gothic" w:hAnsi="Century Gothic" w:cs="Arial"/>
        </w:rPr>
        <w:t xml:space="preserve"> nos processos de compras, evitando desperdícios e conseqüentemente melhorando os serviços prestados ao cidadão</w:t>
      </w:r>
      <w:r>
        <w:rPr>
          <w:rFonts w:ascii="Century Gothic" w:hAnsi="Century Gothic" w:cs="Arial"/>
          <w:b/>
        </w:rPr>
        <w:t>, bem como evitando a ocorrência de fracionamento de despesas.</w:t>
      </w:r>
    </w:p>
    <w:p w:rsidR="009A5F21" w:rsidRPr="009A5F21" w:rsidRDefault="009A5F21" w:rsidP="009A5F21">
      <w:pPr>
        <w:spacing w:line="360" w:lineRule="auto"/>
        <w:jc w:val="both"/>
        <w:rPr>
          <w:rFonts w:ascii="Century Gothic" w:hAnsi="Century Gothic" w:cs="Arial"/>
          <w:b/>
        </w:rPr>
      </w:pPr>
    </w:p>
    <w:p w:rsidR="009A5F21" w:rsidRPr="009A5F21" w:rsidRDefault="009A5F21" w:rsidP="009A5F21">
      <w:pPr>
        <w:jc w:val="both"/>
        <w:rPr>
          <w:rFonts w:ascii="Century Gothic" w:hAnsi="Century Gothic" w:cs="Arial"/>
          <w:b/>
        </w:rPr>
      </w:pPr>
      <w:r w:rsidRPr="009A5F21">
        <w:rPr>
          <w:rFonts w:ascii="Century Gothic" w:hAnsi="Century Gothic" w:cs="Arial"/>
          <w:b/>
        </w:rPr>
        <w:t>II –</w:t>
      </w:r>
      <w:r w:rsidRPr="009A5F21">
        <w:rPr>
          <w:rFonts w:ascii="Century Gothic" w:hAnsi="Century Gothic" w:cs="Arial"/>
        </w:rPr>
        <w:t xml:space="preserve"> Nos processos de formalização da pesquisas de preços seja observado os seguintes aspectos:</w:t>
      </w:r>
    </w:p>
    <w:p w:rsidR="009A5F21" w:rsidRPr="009A5F21" w:rsidRDefault="009A5F21" w:rsidP="009A5F21">
      <w:pPr>
        <w:jc w:val="both"/>
        <w:rPr>
          <w:rFonts w:ascii="Century Gothic" w:hAnsi="Century Gothic" w:cs="Arial"/>
          <w:b/>
        </w:rPr>
      </w:pPr>
    </w:p>
    <w:p w:rsidR="009A5F21" w:rsidRPr="009A5F21" w:rsidRDefault="009A5F21" w:rsidP="009A5F21">
      <w:pPr>
        <w:jc w:val="both"/>
        <w:rPr>
          <w:rFonts w:ascii="Century Gothic" w:hAnsi="Century Gothic" w:cs="Arial"/>
          <w:i/>
        </w:rPr>
      </w:pPr>
      <w:r w:rsidRPr="009A5F21">
        <w:rPr>
          <w:rFonts w:ascii="Century Gothic" w:hAnsi="Century Gothic" w:cs="Arial"/>
          <w:b/>
          <w:i/>
        </w:rPr>
        <w:t>A)</w:t>
      </w:r>
      <w:r w:rsidRPr="009A5F21">
        <w:rPr>
          <w:rFonts w:ascii="Century Gothic" w:hAnsi="Century Gothic" w:cs="Arial"/>
          <w:i/>
        </w:rPr>
        <w:t xml:space="preserve"> identificação do servidor responsável pela cotação (Acórdão TCU 909/2007-1C) </w:t>
      </w:r>
    </w:p>
    <w:p w:rsidR="009A5F21" w:rsidRPr="009A5F21" w:rsidRDefault="009A5F21" w:rsidP="009A5F21">
      <w:pPr>
        <w:jc w:val="both"/>
        <w:rPr>
          <w:rFonts w:ascii="Century Gothic" w:hAnsi="Century Gothic" w:cs="Arial"/>
          <w:i/>
        </w:rPr>
      </w:pPr>
      <w:r w:rsidRPr="009A5F21">
        <w:rPr>
          <w:rFonts w:ascii="Century Gothic" w:hAnsi="Century Gothic" w:cs="Arial"/>
          <w:b/>
          <w:i/>
        </w:rPr>
        <w:lastRenderedPageBreak/>
        <w:t>B)</w:t>
      </w:r>
      <w:r w:rsidRPr="009A5F21">
        <w:rPr>
          <w:rFonts w:ascii="Century Gothic" w:hAnsi="Century Gothic" w:cs="Arial"/>
          <w:i/>
        </w:rPr>
        <w:t xml:space="preserve"> empresas pesquisadas devem ser do ramo pertinente (Acórdão TCU 1.782/2010-P) </w:t>
      </w:r>
    </w:p>
    <w:p w:rsidR="009A5F21" w:rsidRPr="009A5F21" w:rsidRDefault="009A5F21" w:rsidP="009A5F21">
      <w:pPr>
        <w:jc w:val="both"/>
        <w:rPr>
          <w:rFonts w:ascii="Century Gothic" w:hAnsi="Century Gothic" w:cs="Arial"/>
          <w:i/>
        </w:rPr>
      </w:pPr>
      <w:r w:rsidRPr="009A5F21">
        <w:rPr>
          <w:rFonts w:ascii="Century Gothic" w:hAnsi="Century Gothic" w:cs="Arial"/>
          <w:b/>
          <w:i/>
        </w:rPr>
        <w:t>C)</w:t>
      </w:r>
      <w:r w:rsidRPr="009A5F21">
        <w:rPr>
          <w:rFonts w:ascii="Century Gothic" w:hAnsi="Century Gothic" w:cs="Arial"/>
          <w:i/>
        </w:rPr>
        <w:t xml:space="preserve"> empresas pesquisadas não podem ser vinculadas entre si (Acórdão TCU 4.561/2010-1C) </w:t>
      </w:r>
    </w:p>
    <w:p w:rsidR="009A5F21" w:rsidRPr="009A5F21" w:rsidRDefault="009A5F21" w:rsidP="009A5F21">
      <w:pPr>
        <w:jc w:val="both"/>
        <w:rPr>
          <w:rFonts w:ascii="Century Gothic" w:hAnsi="Century Gothic" w:cs="Arial"/>
          <w:i/>
        </w:rPr>
      </w:pPr>
      <w:r w:rsidRPr="009A5F21">
        <w:rPr>
          <w:rFonts w:ascii="Century Gothic" w:hAnsi="Century Gothic" w:cs="Arial"/>
          <w:b/>
          <w:i/>
        </w:rPr>
        <w:t>D)</w:t>
      </w:r>
      <w:r w:rsidRPr="009A5F21">
        <w:rPr>
          <w:rFonts w:ascii="Century Gothic" w:hAnsi="Century Gothic" w:cs="Arial"/>
          <w:i/>
        </w:rPr>
        <w:t xml:space="preserve"> caracterização completa das fontes consultadas (sites, atas de outros municípios) (Acórdão 3.889/2009-1C)</w:t>
      </w:r>
    </w:p>
    <w:p w:rsidR="009A5F21" w:rsidRPr="009A5F21" w:rsidRDefault="009A5F21" w:rsidP="009A5F21">
      <w:pPr>
        <w:jc w:val="both"/>
        <w:rPr>
          <w:rFonts w:ascii="Century Gothic" w:hAnsi="Century Gothic" w:cs="Arial"/>
          <w:i/>
        </w:rPr>
      </w:pPr>
      <w:r w:rsidRPr="009A5F21">
        <w:rPr>
          <w:rFonts w:ascii="Century Gothic" w:hAnsi="Century Gothic" w:cs="Arial"/>
          <w:b/>
          <w:i/>
        </w:rPr>
        <w:t>E)</w:t>
      </w:r>
      <w:r w:rsidRPr="009A5F21">
        <w:rPr>
          <w:rFonts w:ascii="Century Gothic" w:hAnsi="Century Gothic" w:cs="Arial"/>
          <w:i/>
        </w:rPr>
        <w:t xml:space="preserve"> indicação fundamentada e detalhada das referências utilizadas (Ac TCU 1.330/2008-P) </w:t>
      </w:r>
    </w:p>
    <w:p w:rsidR="009A5F21" w:rsidRPr="009A5F21" w:rsidRDefault="009A5F21" w:rsidP="009A5F21">
      <w:pPr>
        <w:jc w:val="both"/>
        <w:rPr>
          <w:rFonts w:ascii="Century Gothic" w:hAnsi="Century Gothic" w:cs="Arial"/>
          <w:i/>
        </w:rPr>
      </w:pPr>
      <w:r w:rsidRPr="009A5F21">
        <w:rPr>
          <w:rFonts w:ascii="Century Gothic" w:hAnsi="Century Gothic" w:cs="Arial"/>
          <w:b/>
          <w:i/>
        </w:rPr>
        <w:t>F)</w:t>
      </w:r>
      <w:r w:rsidRPr="009A5F21">
        <w:rPr>
          <w:rFonts w:ascii="Century Gothic" w:hAnsi="Century Gothic" w:cs="Arial"/>
          <w:i/>
        </w:rPr>
        <w:t xml:space="preserve"> metodologia utilizada e conclusões obtidas (Nota Técnica AGU/PGF/UFSC 376/2013)</w:t>
      </w:r>
    </w:p>
    <w:p w:rsidR="009A5F21" w:rsidRPr="009A5F21" w:rsidRDefault="009A5F21" w:rsidP="009A5F21">
      <w:pPr>
        <w:jc w:val="both"/>
        <w:rPr>
          <w:rFonts w:ascii="Century Gothic" w:hAnsi="Century Gothic" w:cs="Arial"/>
          <w:i/>
        </w:rPr>
      </w:pPr>
      <w:r w:rsidRPr="009A5F21">
        <w:rPr>
          <w:rFonts w:ascii="Century Gothic" w:hAnsi="Century Gothic" w:cs="Arial"/>
          <w:b/>
          <w:i/>
        </w:rPr>
        <w:t>G)</w:t>
      </w:r>
      <w:r w:rsidRPr="009A5F21">
        <w:rPr>
          <w:rFonts w:ascii="Century Gothic" w:hAnsi="Century Gothic" w:cs="Arial"/>
          <w:i/>
        </w:rPr>
        <w:t xml:space="preserve"> data e local de expedição (Acórdão 3.889/2009-1C)</w:t>
      </w:r>
    </w:p>
    <w:p w:rsidR="009A5F21" w:rsidRPr="009A5F21" w:rsidRDefault="009A5F21" w:rsidP="009A5F21">
      <w:pPr>
        <w:tabs>
          <w:tab w:val="left" w:pos="0"/>
        </w:tabs>
        <w:jc w:val="both"/>
        <w:rPr>
          <w:rFonts w:ascii="Century Gothic" w:hAnsi="Century Gothic" w:cs="Arial"/>
          <w:b/>
        </w:rPr>
      </w:pPr>
      <w:r w:rsidRPr="009A5F21">
        <w:rPr>
          <w:rFonts w:ascii="Century Gothic" w:hAnsi="Century Gothic" w:cs="Arial"/>
          <w:b/>
          <w:i/>
        </w:rPr>
        <w:t>I)</w:t>
      </w:r>
      <w:r w:rsidRPr="009A5F21">
        <w:rPr>
          <w:rFonts w:ascii="Century Gothic" w:hAnsi="Century Gothic" w:cs="Arial"/>
          <w:i/>
        </w:rPr>
        <w:t xml:space="preserve"> A pesquisa de preços de referência nas aquisições públicas deve adotar amplitude e rigor metodológico proporcionais à materialidade da contratação e aos riscos envolvidos, não podendo se restringir à obtenção de três orçamentos junto a potenciais fornecedores, mas deve considerar o seguinte conjunto (cesta) de preços aceitáveis: preços praticados na Administração Pública, como fonte prioritária; consultas em portais oficiais de referenciamento de preços e em mídias e sítios especializados de amplo domínio público; fornecedores; catálogos de fornecedores; analogia com compras/contratações realizadas por corporações privadas; outras fontes idôneas, desde que devidamente detalhadas e justificadas.</w:t>
      </w:r>
      <w:r w:rsidRPr="009A5F21">
        <w:rPr>
          <w:rFonts w:ascii="Century Gothic" w:hAnsi="Century Gothic" w:cs="Arial"/>
          <w:b/>
        </w:rPr>
        <w:t xml:space="preserve"> RESOLUÇÃO DE CONSULTA Nº 20/2016 – TP – TCE MT</w:t>
      </w:r>
      <w:r>
        <w:rPr>
          <w:rFonts w:ascii="Century Gothic" w:hAnsi="Century Gothic" w:cs="Arial"/>
          <w:b/>
        </w:rPr>
        <w:t>.</w:t>
      </w:r>
    </w:p>
    <w:p w:rsidR="009A5F21" w:rsidRDefault="009A5F21" w:rsidP="009A5F21">
      <w:pPr>
        <w:tabs>
          <w:tab w:val="left" w:pos="0"/>
        </w:tabs>
        <w:jc w:val="both"/>
        <w:rPr>
          <w:rFonts w:ascii="Century Gothic" w:hAnsi="Century Gothic" w:cs="Arial"/>
          <w:b/>
        </w:rPr>
      </w:pPr>
      <w:r w:rsidRPr="009A5F21">
        <w:rPr>
          <w:rFonts w:ascii="Century Gothic" w:hAnsi="Century Gothic" w:cs="Arial"/>
          <w:b/>
          <w:i/>
        </w:rPr>
        <w:t>H)</w:t>
      </w:r>
      <w:r w:rsidRPr="009A5F21">
        <w:rPr>
          <w:rFonts w:ascii="Century Gothic" w:hAnsi="Century Gothic" w:cs="Arial"/>
          <w:i/>
        </w:rPr>
        <w:t xml:space="preserve"> Nos processos de inexigibilidade e de dispensa de licitação, inclusive aqueles amparados no art. 24, I, II, da Lei nº 8.666/1993, devem ser apresentadas as respectivas pesquisas de preços, nos termos do art. 26 da Lei.</w:t>
      </w:r>
      <w:r w:rsidRPr="009A5F21">
        <w:rPr>
          <w:rFonts w:ascii="Century Gothic" w:hAnsi="Century Gothic" w:cs="Arial"/>
          <w:b/>
        </w:rPr>
        <w:t xml:space="preserve"> RESOLUÇÃO DE CONSULTA Nº 20/2016 – TP – TCE MT</w:t>
      </w:r>
      <w:r>
        <w:rPr>
          <w:rFonts w:ascii="Century Gothic" w:hAnsi="Century Gothic" w:cs="Arial"/>
          <w:b/>
        </w:rPr>
        <w:t>.</w:t>
      </w:r>
    </w:p>
    <w:p w:rsidR="009A5F21" w:rsidRDefault="009A5F21" w:rsidP="009A5F21">
      <w:pPr>
        <w:tabs>
          <w:tab w:val="left" w:pos="0"/>
        </w:tabs>
        <w:jc w:val="both"/>
        <w:rPr>
          <w:rFonts w:ascii="Century Gothic" w:hAnsi="Century Gothic" w:cs="Arial"/>
          <w:b/>
        </w:rPr>
      </w:pPr>
    </w:p>
    <w:p w:rsidR="009A5F21" w:rsidRPr="008928C9" w:rsidRDefault="009A5F21" w:rsidP="008928C9">
      <w:pPr>
        <w:tabs>
          <w:tab w:val="left" w:pos="0"/>
        </w:tabs>
        <w:spacing w:line="360" w:lineRule="auto"/>
        <w:jc w:val="both"/>
        <w:rPr>
          <w:rFonts w:ascii="Century Gothic" w:hAnsi="Century Gothic" w:cs="Arial"/>
        </w:rPr>
      </w:pPr>
      <w:r>
        <w:rPr>
          <w:rFonts w:ascii="Century Gothic" w:hAnsi="Century Gothic" w:cs="Arial"/>
          <w:b/>
        </w:rPr>
        <w:t xml:space="preserve">III </w:t>
      </w:r>
      <w:r w:rsidR="008928C9">
        <w:rPr>
          <w:rFonts w:ascii="Century Gothic" w:hAnsi="Century Gothic" w:cs="Arial"/>
          <w:b/>
        </w:rPr>
        <w:t>–</w:t>
      </w:r>
      <w:r>
        <w:rPr>
          <w:rFonts w:ascii="Century Gothic" w:hAnsi="Century Gothic" w:cs="Arial"/>
          <w:b/>
        </w:rPr>
        <w:t xml:space="preserve"> </w:t>
      </w:r>
      <w:r w:rsidR="008928C9">
        <w:rPr>
          <w:rFonts w:ascii="Century Gothic" w:hAnsi="Century Gothic" w:cs="Arial"/>
        </w:rPr>
        <w:t>Que o departamento de compras atenda ao disposto no Decreto Municipal Nº 312/2017, procedendo com os controles das aquisições e gerindo as informações das compras, de modo que alerte a administração na ocorrência de compras diretas que extrapolem os limites definidos na legislação em vigência.</w:t>
      </w:r>
    </w:p>
    <w:p w:rsidR="009A5F21" w:rsidRPr="009A5F21" w:rsidRDefault="009A5F21" w:rsidP="008928C9">
      <w:pPr>
        <w:spacing w:line="276" w:lineRule="auto"/>
        <w:jc w:val="both"/>
        <w:rPr>
          <w:rFonts w:ascii="Century Gothic" w:hAnsi="Century Gothic" w:cs="Arial"/>
          <w:i/>
        </w:rPr>
      </w:pPr>
    </w:p>
    <w:p w:rsidR="00257105" w:rsidRDefault="00257105" w:rsidP="00DD550E">
      <w:pPr>
        <w:spacing w:line="360" w:lineRule="auto"/>
        <w:jc w:val="both"/>
        <w:rPr>
          <w:rFonts w:ascii="Century Gothic" w:hAnsi="Century Gothic"/>
        </w:rPr>
      </w:pPr>
      <w:r w:rsidRPr="00257105">
        <w:rPr>
          <w:rFonts w:ascii="Century Gothic" w:hAnsi="Century Gothic"/>
          <w:b/>
        </w:rPr>
        <w:t>IV –</w:t>
      </w:r>
      <w:r>
        <w:rPr>
          <w:rFonts w:ascii="Century Gothic" w:hAnsi="Century Gothic"/>
        </w:rPr>
        <w:t xml:space="preserve"> Adote os procedimentos disciplinados pela Instrução Normativa – SCL – Sistema de Compras e Licitações – Nº 002/2017.</w:t>
      </w:r>
    </w:p>
    <w:p w:rsidR="00E53E17" w:rsidRPr="009A5F21" w:rsidRDefault="00E53E17" w:rsidP="00DD550E">
      <w:pPr>
        <w:spacing w:line="360" w:lineRule="auto"/>
        <w:jc w:val="both"/>
        <w:rPr>
          <w:rFonts w:ascii="Century Gothic" w:hAnsi="Century Gothic"/>
        </w:rPr>
      </w:pPr>
      <w:r w:rsidRPr="009A5F21">
        <w:rPr>
          <w:rFonts w:ascii="Century Gothic" w:hAnsi="Century Gothic"/>
        </w:rPr>
        <w:lastRenderedPageBreak/>
        <w:tab/>
      </w:r>
      <w:r w:rsidRPr="009A5F21">
        <w:rPr>
          <w:rFonts w:ascii="Century Gothic" w:hAnsi="Century Gothic"/>
          <w:snapToGrid w:val="0"/>
        </w:rPr>
        <w:t xml:space="preserve">É de competência desta Unidade de Controle Interno de fiscalizar as ilegalidades oriundas do Poder Executivo desta e orientar o Gestor, conforme </w:t>
      </w:r>
      <w:r w:rsidRPr="009A5F21">
        <w:rPr>
          <w:rFonts w:ascii="Century Gothic" w:hAnsi="Century Gothic"/>
          <w:u w:val="single"/>
        </w:rPr>
        <w:t>L</w:t>
      </w:r>
      <w:r w:rsidRPr="009A5F21">
        <w:rPr>
          <w:rFonts w:ascii="Century Gothic" w:hAnsi="Century Gothic"/>
          <w:bCs/>
          <w:u w:val="single"/>
        </w:rPr>
        <w:t>ei n.º 737/2007, como segue:</w:t>
      </w:r>
    </w:p>
    <w:p w:rsidR="00257105" w:rsidRDefault="00257105" w:rsidP="00257105">
      <w:pPr>
        <w:spacing w:line="360" w:lineRule="auto"/>
        <w:ind w:left="1701"/>
        <w:jc w:val="both"/>
        <w:rPr>
          <w:rFonts w:ascii="Century Gothic" w:hAnsi="Century Gothic"/>
          <w:b/>
          <w:bCs/>
          <w:i/>
        </w:rPr>
      </w:pPr>
    </w:p>
    <w:p w:rsidR="00257105" w:rsidRPr="007F752D" w:rsidRDefault="00257105" w:rsidP="00257105">
      <w:pPr>
        <w:spacing w:line="360" w:lineRule="auto"/>
        <w:ind w:left="1701"/>
        <w:jc w:val="both"/>
        <w:rPr>
          <w:rFonts w:ascii="Century Gothic" w:hAnsi="Century Gothic"/>
          <w:bCs/>
          <w:i/>
        </w:rPr>
      </w:pPr>
      <w:r w:rsidRPr="007F752D">
        <w:rPr>
          <w:rFonts w:ascii="Century Gothic" w:hAnsi="Century Gothic"/>
          <w:b/>
          <w:bCs/>
          <w:i/>
        </w:rPr>
        <w:t xml:space="preserve">Art.5º- XV - </w:t>
      </w:r>
      <w:r w:rsidRPr="007F752D">
        <w:rPr>
          <w:rFonts w:ascii="Century Gothic" w:hAnsi="Century Gothic"/>
          <w:bCs/>
          <w:i/>
          <w:u w:val="single"/>
        </w:rPr>
        <w:t>Alertar formalmente a autoridade administrativa</w:t>
      </w:r>
      <w:r w:rsidRPr="007F752D">
        <w:rPr>
          <w:rFonts w:ascii="Century Gothic" w:hAnsi="Century Gothic"/>
          <w:bCs/>
          <w:i/>
        </w:rPr>
        <w:t xml:space="preserve"> competente para que instaure imediatamente, sob pena de responsabilidade solidária, </w:t>
      </w:r>
      <w:r w:rsidRPr="007F752D">
        <w:rPr>
          <w:rFonts w:ascii="Century Gothic" w:hAnsi="Century Gothic"/>
          <w:bCs/>
          <w:i/>
          <w:u w:val="single"/>
        </w:rPr>
        <w:t>as ações destinadas a apurar os atos ou fatos inquinados de ilegais, ilegítimos</w:t>
      </w:r>
      <w:r w:rsidRPr="0060742C">
        <w:rPr>
          <w:rFonts w:ascii="Century Gothic" w:hAnsi="Century Gothic"/>
          <w:bCs/>
        </w:rPr>
        <w:t xml:space="preserve"> </w:t>
      </w:r>
      <w:r w:rsidRPr="0060742C">
        <w:rPr>
          <w:rFonts w:ascii="Century Gothic" w:hAnsi="Century Gothic"/>
          <w:bCs/>
          <w:i/>
        </w:rPr>
        <w:t>ou antieconômicas que resultem em prejuízo ao erário,</w:t>
      </w:r>
      <w:r w:rsidRPr="007F752D">
        <w:rPr>
          <w:rFonts w:ascii="Century Gothic" w:hAnsi="Century Gothic"/>
          <w:bCs/>
          <w:i/>
        </w:rPr>
        <w:t xml:space="preserve"> praticados por agente públicos, ou quando não forem prestadas as contas ou, ainda, quando ocorrer desfalque, desvio de dinheiro, bens ou valores públicos;</w:t>
      </w:r>
    </w:p>
    <w:p w:rsidR="00E53E17" w:rsidRPr="009A5F21" w:rsidRDefault="00E53E17" w:rsidP="00E53E17">
      <w:pPr>
        <w:spacing w:line="360" w:lineRule="auto"/>
        <w:ind w:left="1701"/>
        <w:jc w:val="both"/>
        <w:rPr>
          <w:rFonts w:ascii="Century Gothic" w:hAnsi="Century Gothic"/>
          <w:bCs/>
          <w:i/>
        </w:rPr>
      </w:pPr>
    </w:p>
    <w:p w:rsidR="00E53E17" w:rsidRPr="009A5F21" w:rsidRDefault="00E53E17" w:rsidP="00E53E17">
      <w:pPr>
        <w:spacing w:line="360" w:lineRule="auto"/>
        <w:rPr>
          <w:rFonts w:ascii="Century Gothic" w:hAnsi="Century Gothic"/>
        </w:rPr>
      </w:pPr>
      <w:r w:rsidRPr="009A5F21">
        <w:rPr>
          <w:rFonts w:ascii="Century Gothic" w:hAnsi="Century Gothic" w:cs="Arial"/>
        </w:rPr>
        <w:t>É o relatório</w:t>
      </w:r>
    </w:p>
    <w:p w:rsidR="00E53E17" w:rsidRPr="009A5F21" w:rsidRDefault="00E53E17" w:rsidP="00E53E17">
      <w:pPr>
        <w:spacing w:line="360" w:lineRule="auto"/>
        <w:rPr>
          <w:rFonts w:ascii="Century Gothic" w:hAnsi="Century Gothic" w:cs="Arial"/>
        </w:rPr>
      </w:pPr>
    </w:p>
    <w:p w:rsidR="00E53E17" w:rsidRPr="009A5F21" w:rsidRDefault="00E53E17" w:rsidP="00E53E17">
      <w:pPr>
        <w:spacing w:line="360" w:lineRule="auto"/>
        <w:jc w:val="both"/>
        <w:rPr>
          <w:rFonts w:ascii="Century Gothic" w:hAnsi="Century Gothic"/>
        </w:rPr>
      </w:pPr>
      <w:r w:rsidRPr="009A5F21">
        <w:rPr>
          <w:rFonts w:ascii="Century Gothic" w:hAnsi="Century Gothic"/>
        </w:rPr>
        <w:tab/>
        <w:t>Atenciosamente,</w:t>
      </w:r>
    </w:p>
    <w:p w:rsidR="00E53E17" w:rsidRPr="009A5F21" w:rsidRDefault="00E53E17" w:rsidP="00E53E17">
      <w:pPr>
        <w:spacing w:line="360" w:lineRule="auto"/>
        <w:jc w:val="center"/>
        <w:rPr>
          <w:rFonts w:ascii="Century Gothic" w:hAnsi="Century Gothic"/>
          <w:b/>
        </w:rPr>
      </w:pPr>
    </w:p>
    <w:p w:rsidR="00DD550E" w:rsidRPr="009A5F21" w:rsidRDefault="00DD550E" w:rsidP="00E53E17">
      <w:pPr>
        <w:spacing w:line="360" w:lineRule="auto"/>
        <w:jc w:val="center"/>
        <w:rPr>
          <w:rFonts w:ascii="Century Gothic" w:hAnsi="Century Gothic"/>
          <w:b/>
        </w:rPr>
      </w:pPr>
    </w:p>
    <w:p w:rsidR="00DD550E" w:rsidRPr="009A5F21" w:rsidRDefault="00DD550E" w:rsidP="00E53E17">
      <w:pPr>
        <w:spacing w:line="360" w:lineRule="auto"/>
        <w:jc w:val="center"/>
        <w:rPr>
          <w:rFonts w:ascii="Century Gothic" w:hAnsi="Century Gothic"/>
          <w:b/>
        </w:rPr>
      </w:pPr>
    </w:p>
    <w:p w:rsidR="00DD550E" w:rsidRPr="009A5F21" w:rsidRDefault="00DD550E" w:rsidP="00E53E17">
      <w:pPr>
        <w:spacing w:line="360" w:lineRule="auto"/>
        <w:jc w:val="center"/>
        <w:rPr>
          <w:rFonts w:ascii="Century Gothic" w:hAnsi="Century Gothic"/>
          <w:b/>
        </w:rPr>
      </w:pPr>
    </w:p>
    <w:p w:rsidR="000D5B49" w:rsidRDefault="000D5B49" w:rsidP="000D5B49">
      <w:pPr>
        <w:spacing w:line="360" w:lineRule="auto"/>
        <w:jc w:val="center"/>
        <w:rPr>
          <w:rFonts w:ascii="Arial" w:hAnsi="Arial" w:cs="Arial"/>
          <w:b/>
        </w:rPr>
      </w:pPr>
    </w:p>
    <w:p w:rsidR="000D5B49" w:rsidRDefault="000D5B49" w:rsidP="000D5B49">
      <w:pPr>
        <w:spacing w:line="360" w:lineRule="auto"/>
        <w:rPr>
          <w:rFonts w:ascii="Arial" w:hAnsi="Arial" w:cs="Arial"/>
          <w:b/>
        </w:rPr>
      </w:pPr>
      <w:r>
        <w:rPr>
          <w:rFonts w:ascii="Arial" w:hAnsi="Arial" w:cs="Arial"/>
          <w:b/>
        </w:rPr>
        <w:t xml:space="preserve">        Cassio Walnero Crepaldi</w:t>
      </w:r>
      <w:r>
        <w:rPr>
          <w:rFonts w:ascii="Arial" w:hAnsi="Arial" w:cs="Arial"/>
          <w:b/>
        </w:rPr>
        <w:tab/>
      </w:r>
      <w:r>
        <w:rPr>
          <w:rFonts w:ascii="Arial" w:hAnsi="Arial" w:cs="Arial"/>
          <w:b/>
        </w:rPr>
        <w:tab/>
      </w:r>
      <w:r>
        <w:rPr>
          <w:rFonts w:ascii="Arial" w:hAnsi="Arial" w:cs="Arial"/>
          <w:b/>
        </w:rPr>
        <w:tab/>
        <w:t xml:space="preserve">       Diego Paranhos Correia</w:t>
      </w:r>
    </w:p>
    <w:p w:rsidR="000D5B49" w:rsidRPr="00C0380D" w:rsidRDefault="000D5B49" w:rsidP="000D5B49">
      <w:pPr>
        <w:spacing w:line="360" w:lineRule="auto"/>
        <w:rPr>
          <w:rFonts w:ascii="Arial" w:hAnsi="Arial" w:cs="Arial"/>
          <w:b/>
        </w:rPr>
      </w:pPr>
      <w:r>
        <w:rPr>
          <w:rFonts w:ascii="Arial" w:hAnsi="Arial" w:cs="Arial"/>
          <w:b/>
        </w:rPr>
        <w:t xml:space="preserve">    Controlador Geral Do Município </w:t>
      </w:r>
      <w:r>
        <w:rPr>
          <w:rFonts w:ascii="Arial" w:hAnsi="Arial" w:cs="Arial"/>
          <w:b/>
        </w:rPr>
        <w:tab/>
      </w:r>
      <w:r>
        <w:rPr>
          <w:rFonts w:ascii="Arial" w:hAnsi="Arial" w:cs="Arial"/>
          <w:b/>
        </w:rPr>
        <w:tab/>
      </w:r>
      <w:r>
        <w:rPr>
          <w:rFonts w:ascii="Arial" w:hAnsi="Arial" w:cs="Arial"/>
          <w:b/>
        </w:rPr>
        <w:tab/>
        <w:t>Controlador Interno</w:t>
      </w:r>
    </w:p>
    <w:p w:rsidR="00DD550E" w:rsidRPr="009A5F21" w:rsidRDefault="00DD550E" w:rsidP="000D5B49">
      <w:pPr>
        <w:spacing w:line="360" w:lineRule="auto"/>
        <w:jc w:val="center"/>
        <w:rPr>
          <w:rFonts w:ascii="Century Gothic" w:hAnsi="Century Gothic"/>
          <w:b/>
        </w:rPr>
      </w:pPr>
    </w:p>
    <w:p w:rsidR="00E53E17" w:rsidRPr="009A5F21" w:rsidRDefault="00E53E17" w:rsidP="00E53E17">
      <w:pPr>
        <w:spacing w:line="360" w:lineRule="auto"/>
        <w:jc w:val="both"/>
        <w:rPr>
          <w:rFonts w:ascii="Century Gothic" w:hAnsi="Century Gothic"/>
          <w:b/>
        </w:rPr>
      </w:pPr>
    </w:p>
    <w:p w:rsidR="00DD550E" w:rsidRPr="009A5F21" w:rsidRDefault="00DD550E" w:rsidP="00E53E17">
      <w:pPr>
        <w:spacing w:line="360" w:lineRule="auto"/>
        <w:jc w:val="both"/>
        <w:rPr>
          <w:rFonts w:ascii="Century Gothic" w:hAnsi="Century Gothic"/>
          <w:b/>
        </w:rPr>
      </w:pPr>
    </w:p>
    <w:p w:rsidR="00DD550E" w:rsidRPr="009A5F21" w:rsidRDefault="00DD550E" w:rsidP="00E53E17">
      <w:pPr>
        <w:spacing w:line="360" w:lineRule="auto"/>
        <w:jc w:val="both"/>
        <w:rPr>
          <w:rFonts w:ascii="Century Gothic" w:hAnsi="Century Gothic"/>
          <w:b/>
        </w:rPr>
      </w:pPr>
    </w:p>
    <w:p w:rsidR="00E14BCE" w:rsidRPr="009A5F21" w:rsidRDefault="00E14BCE" w:rsidP="00DD550E">
      <w:pPr>
        <w:spacing w:line="360" w:lineRule="auto"/>
        <w:jc w:val="both"/>
        <w:rPr>
          <w:rFonts w:ascii="Century Gothic" w:hAnsi="Century Gothic"/>
        </w:rPr>
      </w:pPr>
    </w:p>
    <w:sectPr w:rsidR="00E14BCE" w:rsidRPr="009A5F21" w:rsidSect="00593D1B">
      <w:headerReference w:type="default" r:id="rId7"/>
      <w:footerReference w:type="default" r:id="rId8"/>
      <w:pgSz w:w="11906" w:h="16838"/>
      <w:pgMar w:top="1417" w:right="1274" w:bottom="1417" w:left="1701" w:header="708" w:footer="7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607" w:rsidRDefault="00CA1607" w:rsidP="00E56281">
      <w:r>
        <w:separator/>
      </w:r>
    </w:p>
  </w:endnote>
  <w:endnote w:type="continuationSeparator" w:id="1">
    <w:p w:rsidR="00CA1607" w:rsidRDefault="00CA1607" w:rsidP="00E5628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55E" w:rsidRDefault="00CA1607" w:rsidP="00A86E08">
    <w:pPr>
      <w:pStyle w:val="Rodap"/>
      <w:pBdr>
        <w:bottom w:val="single" w:sz="12" w:space="1" w:color="auto"/>
      </w:pBdr>
      <w:jc w:val="center"/>
      <w:rPr>
        <w:bCs/>
        <w:iCs/>
        <w:sz w:val="22"/>
        <w:szCs w:val="22"/>
      </w:rPr>
    </w:pPr>
  </w:p>
  <w:p w:rsidR="0005255E" w:rsidRDefault="00DD550E" w:rsidP="00593D1B">
    <w:pPr>
      <w:pStyle w:val="Rodap"/>
      <w:jc w:val="center"/>
      <w:rPr>
        <w:bCs/>
        <w:iCs/>
        <w:sz w:val="22"/>
        <w:szCs w:val="22"/>
      </w:rPr>
    </w:pPr>
    <w:r>
      <w:rPr>
        <w:bCs/>
        <w:iCs/>
        <w:sz w:val="22"/>
        <w:szCs w:val="22"/>
      </w:rPr>
      <w:t>End.: Av. Joaquim Miguel dos Santos, nº: 210, Bairro: CAJUS – Telefones: 66-3412-1381 / 1371</w:t>
    </w:r>
  </w:p>
  <w:p w:rsidR="0005255E" w:rsidRPr="00593D1B" w:rsidRDefault="00DD550E" w:rsidP="00593D1B">
    <w:pPr>
      <w:pStyle w:val="Rodap"/>
      <w:jc w:val="center"/>
      <w:rPr>
        <w:bCs/>
        <w:iCs/>
        <w:sz w:val="22"/>
        <w:szCs w:val="22"/>
      </w:rPr>
    </w:pPr>
    <w:r w:rsidRPr="00593D1B">
      <w:rPr>
        <w:bCs/>
        <w:iCs/>
        <w:sz w:val="22"/>
        <w:szCs w:val="22"/>
      </w:rPr>
      <w:t xml:space="preserve">CEP: 78810-000 - E-mail: </w:t>
    </w:r>
    <w:hyperlink r:id="rId1" w:history="1">
      <w:r w:rsidRPr="00451AD6">
        <w:rPr>
          <w:rStyle w:val="Hyperlink"/>
          <w:bCs/>
          <w:iCs/>
          <w:sz w:val="22"/>
          <w:szCs w:val="22"/>
        </w:rPr>
        <w:t>controleinterno</w:t>
      </w:r>
      <w:r>
        <w:rPr>
          <w:rStyle w:val="Hyperlink"/>
          <w:bCs/>
          <w:iCs/>
          <w:sz w:val="22"/>
          <w:szCs w:val="22"/>
        </w:rPr>
        <w:t>jusc</w:t>
      </w:r>
      <w:r w:rsidRPr="00451AD6">
        <w:rPr>
          <w:rStyle w:val="Hyperlink"/>
          <w:bCs/>
          <w:iCs/>
          <w:sz w:val="22"/>
          <w:szCs w:val="22"/>
        </w:rPr>
        <w:t>@hotmail.com</w:t>
      </w:r>
    </w:hyperlink>
    <w:r w:rsidRPr="00593D1B">
      <w:rPr>
        <w:bCs/>
        <w:iCs/>
        <w:sz w:val="22"/>
        <w:szCs w:val="22"/>
      </w:rPr>
      <w:t xml:space="preserve"> – Site: www.juscimeira.mt.gov.br</w:t>
    </w:r>
  </w:p>
  <w:p w:rsidR="0005255E" w:rsidRDefault="00CA160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607" w:rsidRDefault="00CA1607" w:rsidP="00E56281">
      <w:r>
        <w:separator/>
      </w:r>
    </w:p>
  </w:footnote>
  <w:footnote w:type="continuationSeparator" w:id="1">
    <w:p w:rsidR="00CA1607" w:rsidRDefault="00CA1607" w:rsidP="00E56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55E" w:rsidRDefault="00736BF9" w:rsidP="003364FB">
    <w:pPr>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75.2pt;margin-top:-18.15pt;width:93pt;height:81pt;z-index:251660288">
          <v:imagedata r:id="rId1" o:title="BRASÃO ORIGINAL"/>
        </v:shape>
      </w:pict>
    </w:r>
  </w:p>
  <w:p w:rsidR="0005255E" w:rsidRDefault="00CA1607" w:rsidP="003364FB">
    <w:pPr>
      <w:jc w:val="center"/>
      <w:rPr>
        <w:sz w:val="28"/>
        <w:szCs w:val="28"/>
      </w:rPr>
    </w:pPr>
  </w:p>
  <w:p w:rsidR="0005255E" w:rsidRDefault="00CA1607" w:rsidP="003364FB">
    <w:pPr>
      <w:jc w:val="center"/>
      <w:rPr>
        <w:sz w:val="28"/>
        <w:szCs w:val="28"/>
      </w:rPr>
    </w:pPr>
  </w:p>
  <w:p w:rsidR="0005255E" w:rsidRDefault="00CA1607" w:rsidP="003364FB">
    <w:pPr>
      <w:jc w:val="center"/>
      <w:rPr>
        <w:sz w:val="28"/>
        <w:szCs w:val="28"/>
      </w:rPr>
    </w:pPr>
  </w:p>
  <w:p w:rsidR="0005255E" w:rsidRDefault="00DD550E" w:rsidP="003364FB">
    <w:pPr>
      <w:jc w:val="center"/>
      <w:rPr>
        <w:b/>
        <w:bCs/>
      </w:rPr>
    </w:pPr>
    <w:r>
      <w:rPr>
        <w:b/>
        <w:bCs/>
      </w:rPr>
      <w:t>ESTADO DE MATO GROSSO</w:t>
    </w:r>
  </w:p>
  <w:p w:rsidR="0005255E" w:rsidRDefault="00DD550E" w:rsidP="003364FB">
    <w:pPr>
      <w:pStyle w:val="Cabealho"/>
      <w:jc w:val="center"/>
      <w:rPr>
        <w:b/>
        <w:bCs/>
        <w:sz w:val="24"/>
        <w:szCs w:val="24"/>
      </w:rPr>
    </w:pPr>
    <w:r>
      <w:rPr>
        <w:b/>
        <w:bCs/>
        <w:sz w:val="24"/>
        <w:szCs w:val="24"/>
      </w:rPr>
      <w:t>MUNICÍPIO DE JUSCIMEIRA</w:t>
    </w:r>
  </w:p>
  <w:p w:rsidR="0005255E" w:rsidRDefault="00DD550E" w:rsidP="003364FB">
    <w:pPr>
      <w:pStyle w:val="Cabealho"/>
      <w:pBdr>
        <w:bottom w:val="single" w:sz="12" w:space="1" w:color="auto"/>
      </w:pBdr>
      <w:jc w:val="center"/>
      <w:rPr>
        <w:b/>
        <w:bCs/>
        <w:sz w:val="24"/>
        <w:szCs w:val="24"/>
      </w:rPr>
    </w:pPr>
    <w:r>
      <w:rPr>
        <w:b/>
        <w:bCs/>
        <w:sz w:val="24"/>
        <w:szCs w:val="24"/>
      </w:rPr>
      <w:t>PODER EXECUTIVO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D5EA4"/>
    <w:multiLevelType w:val="multilevel"/>
    <w:tmpl w:val="49F80438"/>
    <w:lvl w:ilvl="0">
      <w:start w:val="1"/>
      <w:numFmt w:val="lowerLetter"/>
      <w:lvlText w:val="%1)"/>
      <w:lvlJc w:val="left"/>
      <w:pPr>
        <w:tabs>
          <w:tab w:val="decimal" w:pos="288"/>
        </w:tabs>
        <w:ind w:left="720"/>
      </w:pPr>
      <w:rPr>
        <w:rFonts w:asciiTheme="majorHAnsi" w:hAnsiTheme="majorHAnsi" w:hint="default"/>
        <w:b/>
        <w:strike w:val="0"/>
        <w:color w:val="000000"/>
        <w:spacing w:val="9"/>
        <w:w w:val="100"/>
        <w:sz w:val="23"/>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FE2245"/>
    <w:multiLevelType w:val="hybridMultilevel"/>
    <w:tmpl w:val="407C4232"/>
    <w:lvl w:ilvl="0" w:tplc="B34ACC82">
      <w:start w:val="2"/>
      <w:numFmt w:val="decimal"/>
      <w:lvlText w:val="%1."/>
      <w:lvlJc w:val="left"/>
      <w:pPr>
        <w:ind w:left="1485" w:hanging="360"/>
      </w:pPr>
      <w:rPr>
        <w:rFonts w:hint="default"/>
      </w:r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2">
    <w:nsid w:val="3CE849AE"/>
    <w:multiLevelType w:val="multilevel"/>
    <w:tmpl w:val="0E26124C"/>
    <w:lvl w:ilvl="0">
      <w:start w:val="1"/>
      <w:numFmt w:val="lowerLetter"/>
      <w:lvlText w:val="%1)"/>
      <w:lvlJc w:val="left"/>
      <w:pPr>
        <w:tabs>
          <w:tab w:val="decimal" w:pos="360"/>
        </w:tabs>
        <w:ind w:left="720"/>
      </w:pPr>
      <w:rPr>
        <w:rFonts w:asciiTheme="majorHAnsi" w:hAnsiTheme="majorHAnsi" w:hint="default"/>
        <w:b/>
        <w:strike w:val="0"/>
        <w:color w:val="000000"/>
        <w:spacing w:val="13"/>
        <w:w w:val="100"/>
        <w:sz w:val="23"/>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C04F50"/>
    <w:multiLevelType w:val="hybridMultilevel"/>
    <w:tmpl w:val="3FD653E2"/>
    <w:lvl w:ilvl="0" w:tplc="A91C1496">
      <w:start w:val="1"/>
      <w:numFmt w:val="decimal"/>
      <w:lvlText w:val="%1."/>
      <w:lvlJc w:val="right"/>
      <w:pPr>
        <w:ind w:left="1485" w:hanging="360"/>
      </w:pPr>
      <w:rPr>
        <w:rFonts w:hint="default"/>
        <w:b/>
      </w:r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4">
    <w:nsid w:val="4C7D1F1F"/>
    <w:multiLevelType w:val="hybridMultilevel"/>
    <w:tmpl w:val="42C84BA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A226C17"/>
    <w:multiLevelType w:val="hybridMultilevel"/>
    <w:tmpl w:val="595A6CF6"/>
    <w:lvl w:ilvl="0" w:tplc="04160011">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22530"/>
    <o:shapelayout v:ext="edit">
      <o:idmap v:ext="edit" data="1"/>
    </o:shapelayout>
  </w:hdrShapeDefaults>
  <w:footnotePr>
    <w:footnote w:id="0"/>
    <w:footnote w:id="1"/>
  </w:footnotePr>
  <w:endnotePr>
    <w:endnote w:id="0"/>
    <w:endnote w:id="1"/>
  </w:endnotePr>
  <w:compat/>
  <w:rsids>
    <w:rsidRoot w:val="00E53E17"/>
    <w:rsid w:val="000239C7"/>
    <w:rsid w:val="000935A7"/>
    <w:rsid w:val="000D5B49"/>
    <w:rsid w:val="00123E08"/>
    <w:rsid w:val="00152A68"/>
    <w:rsid w:val="00177FD6"/>
    <w:rsid w:val="0019581C"/>
    <w:rsid w:val="00195C14"/>
    <w:rsid w:val="001A4A3A"/>
    <w:rsid w:val="001A4C98"/>
    <w:rsid w:val="001E057B"/>
    <w:rsid w:val="00231F6D"/>
    <w:rsid w:val="002401A1"/>
    <w:rsid w:val="002545D4"/>
    <w:rsid w:val="00257105"/>
    <w:rsid w:val="002573D2"/>
    <w:rsid w:val="002C3B51"/>
    <w:rsid w:val="002C5392"/>
    <w:rsid w:val="002D5CB9"/>
    <w:rsid w:val="002E5C0D"/>
    <w:rsid w:val="0030038A"/>
    <w:rsid w:val="00336C8C"/>
    <w:rsid w:val="003B3E03"/>
    <w:rsid w:val="00492788"/>
    <w:rsid w:val="004A1705"/>
    <w:rsid w:val="005A730C"/>
    <w:rsid w:val="005C3423"/>
    <w:rsid w:val="00635C44"/>
    <w:rsid w:val="00675D0E"/>
    <w:rsid w:val="0068661C"/>
    <w:rsid w:val="00687DAF"/>
    <w:rsid w:val="0069593B"/>
    <w:rsid w:val="006D5DF6"/>
    <w:rsid w:val="006E2E63"/>
    <w:rsid w:val="00727CB0"/>
    <w:rsid w:val="00736BF9"/>
    <w:rsid w:val="00791DF4"/>
    <w:rsid w:val="0079248E"/>
    <w:rsid w:val="007C24BD"/>
    <w:rsid w:val="007F2253"/>
    <w:rsid w:val="008928C9"/>
    <w:rsid w:val="008A35AA"/>
    <w:rsid w:val="008E29C5"/>
    <w:rsid w:val="009220E8"/>
    <w:rsid w:val="00945634"/>
    <w:rsid w:val="00964E45"/>
    <w:rsid w:val="00997FAE"/>
    <w:rsid w:val="009A5F21"/>
    <w:rsid w:val="00A00692"/>
    <w:rsid w:val="00A16D74"/>
    <w:rsid w:val="00A568CD"/>
    <w:rsid w:val="00AD7ABB"/>
    <w:rsid w:val="00B022A9"/>
    <w:rsid w:val="00B04FEC"/>
    <w:rsid w:val="00B47B34"/>
    <w:rsid w:val="00B619CB"/>
    <w:rsid w:val="00B67E21"/>
    <w:rsid w:val="00BA1125"/>
    <w:rsid w:val="00BA498C"/>
    <w:rsid w:val="00C01129"/>
    <w:rsid w:val="00C15634"/>
    <w:rsid w:val="00C80AF3"/>
    <w:rsid w:val="00CA1607"/>
    <w:rsid w:val="00CD3A19"/>
    <w:rsid w:val="00CD4767"/>
    <w:rsid w:val="00CD4A52"/>
    <w:rsid w:val="00CD6BAE"/>
    <w:rsid w:val="00D01178"/>
    <w:rsid w:val="00D11358"/>
    <w:rsid w:val="00DD550E"/>
    <w:rsid w:val="00DE3B23"/>
    <w:rsid w:val="00E14BCE"/>
    <w:rsid w:val="00E53E17"/>
    <w:rsid w:val="00E56281"/>
    <w:rsid w:val="00E70F54"/>
    <w:rsid w:val="00EA0B45"/>
    <w:rsid w:val="00EA5901"/>
    <w:rsid w:val="00ED2927"/>
    <w:rsid w:val="00F54C56"/>
    <w:rsid w:val="00FA7527"/>
    <w:rsid w:val="00FB1AA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1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53E17"/>
    <w:pPr>
      <w:tabs>
        <w:tab w:val="center" w:pos="4419"/>
        <w:tab w:val="right" w:pos="8838"/>
      </w:tabs>
    </w:pPr>
    <w:rPr>
      <w:sz w:val="20"/>
      <w:szCs w:val="20"/>
    </w:rPr>
  </w:style>
  <w:style w:type="character" w:customStyle="1" w:styleId="CabealhoChar">
    <w:name w:val="Cabeçalho Char"/>
    <w:basedOn w:val="Fontepargpadro"/>
    <w:link w:val="Cabealho"/>
    <w:uiPriority w:val="99"/>
    <w:rsid w:val="00E53E1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E53E17"/>
    <w:pPr>
      <w:tabs>
        <w:tab w:val="center" w:pos="4252"/>
        <w:tab w:val="right" w:pos="8504"/>
      </w:tabs>
    </w:pPr>
  </w:style>
  <w:style w:type="character" w:customStyle="1" w:styleId="RodapChar">
    <w:name w:val="Rodapé Char"/>
    <w:basedOn w:val="Fontepargpadro"/>
    <w:link w:val="Rodap"/>
    <w:uiPriority w:val="99"/>
    <w:rsid w:val="00E53E17"/>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E53E17"/>
    <w:rPr>
      <w:color w:val="0000FF"/>
      <w:u w:val="single"/>
    </w:rPr>
  </w:style>
  <w:style w:type="paragraph" w:customStyle="1" w:styleId="Default">
    <w:name w:val="Default"/>
    <w:rsid w:val="00E53E17"/>
    <w:pPr>
      <w:autoSpaceDE w:val="0"/>
      <w:autoSpaceDN w:val="0"/>
      <w:adjustRightInd w:val="0"/>
      <w:spacing w:after="0" w:line="240" w:lineRule="auto"/>
    </w:pPr>
    <w:rPr>
      <w:rFonts w:ascii="Cambria" w:eastAsia="Calibri" w:hAnsi="Cambria" w:cs="Cambria"/>
      <w:color w:val="000000"/>
      <w:sz w:val="24"/>
      <w:szCs w:val="24"/>
      <w:lang w:eastAsia="pt-BR"/>
    </w:rPr>
  </w:style>
  <w:style w:type="character" w:styleId="Forte">
    <w:name w:val="Strong"/>
    <w:basedOn w:val="Fontepargpadro"/>
    <w:uiPriority w:val="22"/>
    <w:qFormat/>
    <w:rsid w:val="008E29C5"/>
    <w:rPr>
      <w:b/>
      <w:bCs/>
    </w:rPr>
  </w:style>
  <w:style w:type="paragraph" w:styleId="PargrafodaLista">
    <w:name w:val="List Paragraph"/>
    <w:basedOn w:val="Normal"/>
    <w:uiPriority w:val="34"/>
    <w:qFormat/>
    <w:rsid w:val="00123E08"/>
    <w:pPr>
      <w:ind w:left="720"/>
      <w:contextualSpacing/>
    </w:pPr>
  </w:style>
  <w:style w:type="table" w:styleId="Tabelacomgrade">
    <w:name w:val="Table Grid"/>
    <w:basedOn w:val="Tabelanormal"/>
    <w:uiPriority w:val="59"/>
    <w:rsid w:val="00123E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7635929">
      <w:bodyDiv w:val="1"/>
      <w:marLeft w:val="0"/>
      <w:marRight w:val="0"/>
      <w:marTop w:val="0"/>
      <w:marBottom w:val="0"/>
      <w:divBdr>
        <w:top w:val="none" w:sz="0" w:space="0" w:color="auto"/>
        <w:left w:val="none" w:sz="0" w:space="0" w:color="auto"/>
        <w:bottom w:val="none" w:sz="0" w:space="0" w:color="auto"/>
        <w:right w:val="none" w:sz="0" w:space="0" w:color="auto"/>
      </w:divBdr>
    </w:div>
    <w:div w:id="377120907">
      <w:bodyDiv w:val="1"/>
      <w:marLeft w:val="0"/>
      <w:marRight w:val="0"/>
      <w:marTop w:val="0"/>
      <w:marBottom w:val="0"/>
      <w:divBdr>
        <w:top w:val="none" w:sz="0" w:space="0" w:color="auto"/>
        <w:left w:val="none" w:sz="0" w:space="0" w:color="auto"/>
        <w:bottom w:val="none" w:sz="0" w:space="0" w:color="auto"/>
        <w:right w:val="none" w:sz="0" w:space="0" w:color="auto"/>
      </w:divBdr>
    </w:div>
    <w:div w:id="524489650">
      <w:bodyDiv w:val="1"/>
      <w:marLeft w:val="0"/>
      <w:marRight w:val="0"/>
      <w:marTop w:val="0"/>
      <w:marBottom w:val="0"/>
      <w:divBdr>
        <w:top w:val="none" w:sz="0" w:space="0" w:color="auto"/>
        <w:left w:val="none" w:sz="0" w:space="0" w:color="auto"/>
        <w:bottom w:val="none" w:sz="0" w:space="0" w:color="auto"/>
        <w:right w:val="none" w:sz="0" w:space="0" w:color="auto"/>
      </w:divBdr>
    </w:div>
    <w:div w:id="694772604">
      <w:bodyDiv w:val="1"/>
      <w:marLeft w:val="0"/>
      <w:marRight w:val="0"/>
      <w:marTop w:val="0"/>
      <w:marBottom w:val="0"/>
      <w:divBdr>
        <w:top w:val="none" w:sz="0" w:space="0" w:color="auto"/>
        <w:left w:val="none" w:sz="0" w:space="0" w:color="auto"/>
        <w:bottom w:val="none" w:sz="0" w:space="0" w:color="auto"/>
        <w:right w:val="none" w:sz="0" w:space="0" w:color="auto"/>
      </w:divBdr>
    </w:div>
    <w:div w:id="1931502410">
      <w:bodyDiv w:val="1"/>
      <w:marLeft w:val="0"/>
      <w:marRight w:val="0"/>
      <w:marTop w:val="0"/>
      <w:marBottom w:val="0"/>
      <w:divBdr>
        <w:top w:val="none" w:sz="0" w:space="0" w:color="auto"/>
        <w:left w:val="none" w:sz="0" w:space="0" w:color="auto"/>
        <w:bottom w:val="none" w:sz="0" w:space="0" w:color="auto"/>
        <w:right w:val="none" w:sz="0" w:space="0" w:color="auto"/>
      </w:divBdr>
    </w:div>
    <w:div w:id="212981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troleintern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1277</TotalTime>
  <Pages>12</Pages>
  <Words>2196</Words>
  <Characters>11861</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Usuario</cp:lastModifiedBy>
  <cp:revision>24</cp:revision>
  <cp:lastPrinted>2018-12-18T12:30:00Z</cp:lastPrinted>
  <dcterms:created xsi:type="dcterms:W3CDTF">2018-10-22T23:56:00Z</dcterms:created>
  <dcterms:modified xsi:type="dcterms:W3CDTF">2018-12-19T14:11:00Z</dcterms:modified>
</cp:coreProperties>
</file>